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91" w:rsidRDefault="00A327C8" w:rsidP="0095618C">
      <w:pPr>
        <w:pStyle w:val="1"/>
        <w:spacing w:line="480" w:lineRule="exact"/>
        <w:jc w:val="center"/>
        <w:rPr>
          <w:rFonts w:ascii="標楷體" w:eastAsia="標楷體" w:hAnsi="標楷體"/>
          <w:b w:val="0"/>
          <w:bCs w:val="0"/>
          <w:sz w:val="32"/>
          <w:szCs w:val="32"/>
        </w:rPr>
      </w:pPr>
      <w:r w:rsidRPr="0095618C">
        <w:rPr>
          <w:rFonts w:ascii="標楷體" w:eastAsia="標楷體" w:hAnsi="標楷體" w:hint="eastAsia"/>
          <w:sz w:val="32"/>
          <w:szCs w:val="32"/>
        </w:rPr>
        <w:t>財團法人中華民國證券櫃檯買賣中心</w:t>
      </w:r>
      <w:r w:rsidR="001E027F">
        <w:rPr>
          <w:rFonts w:ascii="標楷體" w:eastAsia="標楷體" w:hAnsi="標楷體"/>
          <w:sz w:val="32"/>
          <w:szCs w:val="32"/>
        </w:rPr>
        <w:br/>
      </w:r>
      <w:proofErr w:type="gramStart"/>
      <w:r w:rsidR="003A7D91" w:rsidRPr="0095618C">
        <w:rPr>
          <w:rFonts w:ascii="標楷體" w:eastAsia="標楷體" w:hAnsi="標楷體" w:hint="eastAsia"/>
          <w:sz w:val="32"/>
          <w:szCs w:val="32"/>
        </w:rPr>
        <w:t>興櫃股票</w:t>
      </w:r>
      <w:proofErr w:type="gramEnd"/>
      <w:r w:rsidR="003A7D91" w:rsidRPr="0095618C">
        <w:rPr>
          <w:rFonts w:ascii="標楷體" w:eastAsia="標楷體" w:hAnsi="標楷體" w:hint="eastAsia"/>
          <w:sz w:val="32"/>
          <w:szCs w:val="32"/>
        </w:rPr>
        <w:t>買賣辦法</w:t>
      </w:r>
      <w:r w:rsidR="0095618C" w:rsidRPr="0095618C">
        <w:rPr>
          <w:rFonts w:ascii="標楷體" w:eastAsia="標楷體" w:hAnsi="標楷體" w:hint="eastAsia"/>
          <w:sz w:val="32"/>
          <w:szCs w:val="32"/>
        </w:rPr>
        <w:t>、開放式基金受益憑證買賣辦法、黃金現貨登錄及買賣辦法及綜合交易帳戶作業要點等4項規章部分條文</w:t>
      </w:r>
      <w:r w:rsidRPr="0095618C">
        <w:rPr>
          <w:rFonts w:ascii="標楷體" w:eastAsia="標楷體" w:hAnsi="標楷體" w:hint="eastAsia"/>
          <w:sz w:val="32"/>
          <w:szCs w:val="32"/>
        </w:rPr>
        <w:t>總說明</w:t>
      </w:r>
    </w:p>
    <w:p w:rsidR="00A327C8" w:rsidRDefault="00BC2067" w:rsidP="00BC2067">
      <w:pPr>
        <w:widowControl/>
        <w:spacing w:line="5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 xml:space="preserve">    </w:t>
      </w:r>
      <w:r w:rsidR="00E94A40" w:rsidRPr="00E94A40"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為</w:t>
      </w:r>
      <w:proofErr w:type="gramStart"/>
      <w:r w:rsidR="00E94A40" w:rsidRPr="00E94A40"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使興櫃股票</w:t>
      </w:r>
      <w:proofErr w:type="gramEnd"/>
      <w:r w:rsidR="00E94A40" w:rsidRPr="00E94A40"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給付結算期及綜合交易帳戶申報作業與上市(櫃)股票一致，以符合實務需求，配合臺灣集中保管結算所股份有限公司</w:t>
      </w:r>
      <w:proofErr w:type="gramStart"/>
      <w:r w:rsidR="00E94A40" w:rsidRPr="00E94A40"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調整興櫃股票</w:t>
      </w:r>
      <w:proofErr w:type="gramEnd"/>
      <w:r w:rsidR="00E94A40" w:rsidRPr="00E94A40"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餘額交割之時點為T+2日款</w:t>
      </w:r>
      <w:proofErr w:type="gramStart"/>
      <w:r w:rsidR="00E94A40" w:rsidRPr="00E94A40"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券</w:t>
      </w:r>
      <w:proofErr w:type="gramEnd"/>
      <w:r w:rsidR="00E94A40" w:rsidRPr="00E94A40"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同日交割、調整綜合交易帳戶</w:t>
      </w:r>
      <w:proofErr w:type="gramStart"/>
      <w:r w:rsidR="00E94A40" w:rsidRPr="00E94A40"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買賣興櫃股票</w:t>
      </w:r>
      <w:proofErr w:type="gramEnd"/>
      <w:r w:rsidR="00E94A40" w:rsidRPr="00E94A40"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之申報時點及修正外資客戶</w:t>
      </w:r>
      <w:proofErr w:type="gramStart"/>
      <w:r w:rsidR="00E94A40" w:rsidRPr="00E94A40"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申報</w:t>
      </w:r>
      <w:r w:rsidR="00E94A40"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興櫃股票</w:t>
      </w:r>
      <w:proofErr w:type="gramEnd"/>
      <w:r w:rsidR="00E94A40"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賣出遲延給付結算之相關作業等制度，</w:t>
      </w:r>
      <w:proofErr w:type="gramStart"/>
      <w:r w:rsidR="002857C7"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爰</w:t>
      </w:r>
      <w:proofErr w:type="gramEnd"/>
      <w:r w:rsidR="002857C7"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修正櫃買中心</w:t>
      </w:r>
      <w:r w:rsidR="00E94A40" w:rsidRPr="0027147B">
        <w:rPr>
          <w:rFonts w:ascii="Times New Roman" w:eastAsia="標楷體" w:hAnsi="Times New Roman"/>
          <w:sz w:val="28"/>
          <w:szCs w:val="28"/>
        </w:rPr>
        <w:t>相關規章計</w:t>
      </w:r>
      <w:r w:rsidR="00E94A40">
        <w:rPr>
          <w:rFonts w:ascii="Times New Roman" w:eastAsia="標楷體" w:hAnsi="Times New Roman" w:hint="eastAsia"/>
          <w:sz w:val="28"/>
          <w:szCs w:val="28"/>
        </w:rPr>
        <w:t>4</w:t>
      </w:r>
      <w:r w:rsidR="00E94A40" w:rsidRPr="0027147B">
        <w:rPr>
          <w:rFonts w:ascii="Times New Roman" w:eastAsia="標楷體" w:hAnsi="Times New Roman"/>
          <w:sz w:val="28"/>
          <w:szCs w:val="28"/>
        </w:rPr>
        <w:t>項，謹</w:t>
      </w:r>
      <w:proofErr w:type="gramStart"/>
      <w:r w:rsidR="00E94A40" w:rsidRPr="0027147B">
        <w:rPr>
          <w:rFonts w:ascii="Times New Roman" w:eastAsia="標楷體" w:hAnsi="Times New Roman"/>
          <w:sz w:val="28"/>
          <w:szCs w:val="28"/>
        </w:rPr>
        <w:t>臚</w:t>
      </w:r>
      <w:proofErr w:type="gramEnd"/>
      <w:r w:rsidR="00E94A40" w:rsidRPr="0027147B">
        <w:rPr>
          <w:rFonts w:ascii="Times New Roman" w:eastAsia="標楷體" w:hAnsi="Times New Roman"/>
          <w:sz w:val="28"/>
          <w:szCs w:val="28"/>
        </w:rPr>
        <w:t>列修正要點如下：</w:t>
      </w:r>
    </w:p>
    <w:p w:rsidR="00BC2067" w:rsidRDefault="00BC2067" w:rsidP="00BC2067">
      <w:pPr>
        <w:pStyle w:val="aa"/>
        <w:widowControl/>
        <w:numPr>
          <w:ilvl w:val="0"/>
          <w:numId w:val="39"/>
        </w:numPr>
        <w:tabs>
          <w:tab w:val="left" w:pos="709"/>
        </w:tabs>
        <w:spacing w:line="500" w:lineRule="exact"/>
        <w:ind w:leftChars="0" w:left="709" w:hanging="567"/>
        <w:rPr>
          <w:rFonts w:ascii="標楷體" w:eastAsia="標楷體" w:hAnsi="標楷體" w:cstheme="majorBidi"/>
          <w:bCs/>
          <w:kern w:val="52"/>
          <w:sz w:val="28"/>
          <w:szCs w:val="28"/>
        </w:rPr>
      </w:pPr>
      <w:r w:rsidRPr="00BC2067"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調整證券商</w:t>
      </w:r>
      <w:proofErr w:type="gramStart"/>
      <w:r w:rsidRPr="00BC2067"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賣出興櫃股票</w:t>
      </w:r>
      <w:proofErr w:type="gramEnd"/>
      <w:r w:rsidRPr="00BC2067"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無法完成給付時，得經他方同意向本中心申請取消交易之時限</w:t>
      </w:r>
      <w:r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(修正本</w:t>
      </w:r>
      <w:proofErr w:type="gramStart"/>
      <w:r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中心興櫃股票</w:t>
      </w:r>
      <w:proofErr w:type="gramEnd"/>
      <w:r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買賣辦法</w:t>
      </w:r>
      <w:r w:rsidRPr="00BC2067"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第14條規定</w:t>
      </w:r>
      <w:proofErr w:type="gramStart"/>
      <w:r w:rsidRPr="00BC2067"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及興櫃股票</w:t>
      </w:r>
      <w:proofErr w:type="gramEnd"/>
      <w:r w:rsidRPr="00BC2067"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電腦議價點選系統成交</w:t>
      </w:r>
      <w:proofErr w:type="gramStart"/>
      <w:r w:rsidRPr="00BC2067"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資料改帳申請書</w:t>
      </w:r>
      <w:proofErr w:type="gramEnd"/>
      <w:r w:rsidRPr="00BC2067"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部分內容</w:t>
      </w:r>
      <w:r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)</w:t>
      </w:r>
      <w:r w:rsidRPr="00BC2067"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。</w:t>
      </w:r>
    </w:p>
    <w:p w:rsidR="00BC2067" w:rsidRDefault="00BC2067" w:rsidP="00BC2067">
      <w:pPr>
        <w:pStyle w:val="aa"/>
        <w:widowControl/>
        <w:numPr>
          <w:ilvl w:val="0"/>
          <w:numId w:val="39"/>
        </w:numPr>
        <w:tabs>
          <w:tab w:val="left" w:pos="709"/>
        </w:tabs>
        <w:spacing w:line="500" w:lineRule="exact"/>
        <w:ind w:leftChars="0" w:left="709" w:hanging="567"/>
        <w:rPr>
          <w:rFonts w:ascii="標楷體" w:eastAsia="標楷體" w:hAnsi="標楷體" w:cstheme="majorBidi"/>
          <w:bCs/>
          <w:kern w:val="52"/>
          <w:sz w:val="28"/>
          <w:szCs w:val="28"/>
        </w:rPr>
      </w:pPr>
      <w:r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因開放式基金受益憑證及黃金現貨係</w:t>
      </w:r>
      <w:proofErr w:type="gramStart"/>
      <w:r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與興櫃股票</w:t>
      </w:r>
      <w:proofErr w:type="gramEnd"/>
      <w:r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合併給付結算，</w:t>
      </w:r>
      <w:proofErr w:type="gramStart"/>
      <w:r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併</w:t>
      </w:r>
      <w:proofErr w:type="gramEnd"/>
      <w:r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同調整開放式基金受益憑證及黃金現貨之交割期</w:t>
      </w:r>
      <w:proofErr w:type="gramStart"/>
      <w:r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與改帳</w:t>
      </w:r>
      <w:proofErr w:type="gramEnd"/>
      <w:r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作業申請時限(修正本中心開放式基金受益憑證買賣辦法</w:t>
      </w:r>
      <w:r w:rsidRPr="00BC2067"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第15</w:t>
      </w:r>
      <w:r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條、開放式基金受益憑證成交</w:t>
      </w:r>
      <w:proofErr w:type="gramStart"/>
      <w:r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資料改帳申請書</w:t>
      </w:r>
      <w:proofErr w:type="gramEnd"/>
      <w:r w:rsidRPr="00BC2067"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部分內容及</w:t>
      </w:r>
      <w:r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黃金現貨登錄及買賣辦法</w:t>
      </w:r>
      <w:r w:rsidRPr="00BC2067"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第19條、</w:t>
      </w:r>
      <w:r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黃金現貨成交</w:t>
      </w:r>
      <w:proofErr w:type="gramStart"/>
      <w:r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資料改帳申請書</w:t>
      </w:r>
      <w:proofErr w:type="gramEnd"/>
      <w:r w:rsidRPr="00BC2067"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部分內容</w:t>
      </w:r>
      <w:r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)</w:t>
      </w:r>
      <w:r w:rsidRPr="00BC2067"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。</w:t>
      </w:r>
    </w:p>
    <w:p w:rsidR="00BC2067" w:rsidRDefault="00BC2067" w:rsidP="00BC2067">
      <w:pPr>
        <w:pStyle w:val="aa"/>
        <w:widowControl/>
        <w:numPr>
          <w:ilvl w:val="0"/>
          <w:numId w:val="39"/>
        </w:numPr>
        <w:tabs>
          <w:tab w:val="left" w:pos="709"/>
        </w:tabs>
        <w:spacing w:line="500" w:lineRule="exact"/>
        <w:ind w:leftChars="0" w:left="709" w:hanging="567"/>
        <w:rPr>
          <w:rFonts w:ascii="標楷體" w:eastAsia="標楷體" w:hAnsi="標楷體" w:cstheme="majorBidi"/>
          <w:bCs/>
          <w:kern w:val="52"/>
          <w:sz w:val="28"/>
          <w:szCs w:val="28"/>
        </w:rPr>
      </w:pPr>
      <w:r w:rsidRPr="00BC2067"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調整證券經紀商向客戶收取款</w:t>
      </w:r>
      <w:proofErr w:type="gramStart"/>
      <w:r w:rsidRPr="00BC2067"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券</w:t>
      </w:r>
      <w:proofErr w:type="gramEnd"/>
      <w:r w:rsidRPr="00BC2067"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之時點，</w:t>
      </w:r>
      <w:proofErr w:type="gramStart"/>
      <w:r w:rsidRPr="00BC2067"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另明定</w:t>
      </w:r>
      <w:proofErr w:type="gramEnd"/>
      <w:r w:rsidRPr="00BC2067"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證券經紀商客戶如為境外華僑及外國人者，得經交易對手推薦證券商同意向本中心</w:t>
      </w:r>
      <w:proofErr w:type="gramStart"/>
      <w:r w:rsidRPr="00BC2067"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申報興櫃股票</w:t>
      </w:r>
      <w:proofErr w:type="gramEnd"/>
      <w:r w:rsidRPr="00BC2067"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賣出遲延給付結算</w:t>
      </w:r>
      <w:r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(修正本</w:t>
      </w:r>
      <w:proofErr w:type="gramStart"/>
      <w:r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中心興櫃股票</w:t>
      </w:r>
      <w:proofErr w:type="gramEnd"/>
      <w:r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買賣辦法</w:t>
      </w:r>
      <w:r w:rsidRPr="00BC2067"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第33條</w:t>
      </w:r>
      <w:r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)</w:t>
      </w:r>
      <w:r w:rsidRPr="00BC2067"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。</w:t>
      </w:r>
    </w:p>
    <w:p w:rsidR="00E94A40" w:rsidRPr="00E94A40" w:rsidRDefault="00BC2067" w:rsidP="00BC2067">
      <w:pPr>
        <w:pStyle w:val="aa"/>
        <w:widowControl/>
        <w:numPr>
          <w:ilvl w:val="0"/>
          <w:numId w:val="39"/>
        </w:numPr>
        <w:tabs>
          <w:tab w:val="left" w:pos="709"/>
        </w:tabs>
        <w:spacing w:line="500" w:lineRule="exact"/>
        <w:ind w:leftChars="0" w:left="709" w:hanging="567"/>
        <w:rPr>
          <w:rFonts w:ascii="標楷體" w:eastAsia="標楷體" w:hAnsi="標楷體" w:cstheme="majorBidi"/>
          <w:bCs/>
          <w:kern w:val="52"/>
          <w:sz w:val="28"/>
          <w:szCs w:val="28"/>
        </w:rPr>
      </w:pPr>
      <w:r w:rsidRPr="00BC2067"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調整綜合交易帳戶</w:t>
      </w:r>
      <w:proofErr w:type="gramStart"/>
      <w:r w:rsidRPr="00BC2067"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買賣興櫃股票</w:t>
      </w:r>
      <w:proofErr w:type="gramEnd"/>
      <w:r w:rsidRPr="00BC2067"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申報</w:t>
      </w:r>
      <w:r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成交分配及</w:t>
      </w:r>
      <w:r w:rsidRPr="00BC2067"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申報調整明細</w:t>
      </w:r>
      <w:r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之</w:t>
      </w:r>
      <w:r w:rsidRPr="00BC2067"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時點</w:t>
      </w:r>
      <w:r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，並</w:t>
      </w:r>
      <w:r w:rsidRPr="00BC2067"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明定外國委託人綜合交易帳戶得申報留存等規定</w:t>
      </w:r>
      <w:r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(修正本中心綜合交易帳戶作業要點第肆點)</w:t>
      </w:r>
      <w:r w:rsidRPr="00BC2067">
        <w:rPr>
          <w:rFonts w:ascii="標楷體" w:eastAsia="標楷體" w:hAnsi="標楷體" w:cstheme="majorBidi" w:hint="eastAsia"/>
          <w:bCs/>
          <w:kern w:val="52"/>
          <w:sz w:val="28"/>
          <w:szCs w:val="28"/>
        </w:rPr>
        <w:t>。</w:t>
      </w:r>
    </w:p>
    <w:p w:rsidR="00CB7F1B" w:rsidRPr="00D806DA" w:rsidRDefault="00CB7F1B" w:rsidP="00D806DA">
      <w:pPr>
        <w:widowControl/>
        <w:rPr>
          <w:rFonts w:ascii="標楷體" w:eastAsia="標楷體" w:hAnsi="標楷體" w:cstheme="majorBidi"/>
          <w:b/>
          <w:bCs/>
          <w:kern w:val="52"/>
          <w:sz w:val="32"/>
          <w:szCs w:val="32"/>
        </w:rPr>
      </w:pPr>
      <w:bookmarkStart w:id="0" w:name="_GoBack"/>
      <w:bookmarkEnd w:id="0"/>
    </w:p>
    <w:sectPr w:rsidR="00CB7F1B" w:rsidRPr="00D806DA" w:rsidSect="00E774E5">
      <w:footerReference w:type="even" r:id="rId9"/>
      <w:footerReference w:type="default" r:id="rId10"/>
      <w:pgSz w:w="11906" w:h="16838" w:code="9"/>
      <w:pgMar w:top="1134" w:right="1134" w:bottom="1134" w:left="1134" w:header="39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130" w:rsidRDefault="005A4130" w:rsidP="00BC4557">
      <w:r>
        <w:separator/>
      </w:r>
    </w:p>
  </w:endnote>
  <w:endnote w:type="continuationSeparator" w:id="0">
    <w:p w:rsidR="005A4130" w:rsidRDefault="005A4130" w:rsidP="00BC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067" w:rsidRDefault="00BC2067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C2067" w:rsidRDefault="00BC20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067" w:rsidRDefault="00BC206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806DA" w:rsidRPr="00D806DA">
      <w:rPr>
        <w:noProof/>
        <w:lang w:val="zh-TW"/>
      </w:rPr>
      <w:t>1</w:t>
    </w:r>
    <w:r>
      <w:fldChar w:fldCharType="end"/>
    </w:r>
  </w:p>
  <w:p w:rsidR="00BC2067" w:rsidRDefault="00BC2067">
    <w:pPr>
      <w:pStyle w:val="a5"/>
      <w:jc w:val="right"/>
      <w:rPr>
        <w:rFonts w:eastAsia="標楷體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130" w:rsidRDefault="005A4130" w:rsidP="00BC4557">
      <w:r>
        <w:separator/>
      </w:r>
    </w:p>
  </w:footnote>
  <w:footnote w:type="continuationSeparator" w:id="0">
    <w:p w:rsidR="005A4130" w:rsidRDefault="005A4130" w:rsidP="00BC4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4A2"/>
    <w:multiLevelType w:val="hybridMultilevel"/>
    <w:tmpl w:val="B024E372"/>
    <w:lvl w:ilvl="0" w:tplc="D32828BC">
      <w:start w:val="1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071FE9"/>
    <w:multiLevelType w:val="singleLevel"/>
    <w:tmpl w:val="9D02C5E8"/>
    <w:lvl w:ilvl="0">
      <w:start w:val="1"/>
      <w:numFmt w:val="decimal"/>
      <w:lvlText w:val="%1."/>
      <w:lvlJc w:val="left"/>
      <w:pPr>
        <w:tabs>
          <w:tab w:val="num" w:pos="344"/>
        </w:tabs>
        <w:ind w:left="344" w:hanging="270"/>
      </w:pPr>
      <w:rPr>
        <w:rFonts w:hint="eastAsia"/>
        <w:color w:val="auto"/>
      </w:rPr>
    </w:lvl>
  </w:abstractNum>
  <w:abstractNum w:abstractNumId="2">
    <w:nsid w:val="014728F2"/>
    <w:multiLevelType w:val="hybridMultilevel"/>
    <w:tmpl w:val="73D2C590"/>
    <w:lvl w:ilvl="0" w:tplc="C54449B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271607C"/>
    <w:multiLevelType w:val="hybridMultilevel"/>
    <w:tmpl w:val="B024E372"/>
    <w:lvl w:ilvl="0" w:tplc="D32828B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8D204E"/>
    <w:multiLevelType w:val="hybridMultilevel"/>
    <w:tmpl w:val="4F7E0BE0"/>
    <w:lvl w:ilvl="0" w:tplc="2DFED42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F07DBA"/>
    <w:multiLevelType w:val="hybridMultilevel"/>
    <w:tmpl w:val="07A8FA92"/>
    <w:lvl w:ilvl="0" w:tplc="C36A67D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F5529A"/>
    <w:multiLevelType w:val="hybridMultilevel"/>
    <w:tmpl w:val="4F7E0BE0"/>
    <w:lvl w:ilvl="0" w:tplc="2DFED42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8634A4"/>
    <w:multiLevelType w:val="hybridMultilevel"/>
    <w:tmpl w:val="4BD0DBE0"/>
    <w:lvl w:ilvl="0" w:tplc="719C0370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9932FF"/>
    <w:multiLevelType w:val="hybridMultilevel"/>
    <w:tmpl w:val="73D2C590"/>
    <w:lvl w:ilvl="0" w:tplc="C54449B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2A5610"/>
    <w:multiLevelType w:val="hybridMultilevel"/>
    <w:tmpl w:val="4F7E0BE0"/>
    <w:lvl w:ilvl="0" w:tplc="2DFED42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0D7EF2"/>
    <w:multiLevelType w:val="hybridMultilevel"/>
    <w:tmpl w:val="4F7E0BE0"/>
    <w:lvl w:ilvl="0" w:tplc="2DFED42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00D50A0"/>
    <w:multiLevelType w:val="hybridMultilevel"/>
    <w:tmpl w:val="67ACD158"/>
    <w:lvl w:ilvl="0" w:tplc="AE6A8C5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A96797D"/>
    <w:multiLevelType w:val="singleLevel"/>
    <w:tmpl w:val="D63E9B8E"/>
    <w:lvl w:ilvl="0">
      <w:start w:val="1"/>
      <w:numFmt w:val="decimal"/>
      <w:lvlText w:val="%1."/>
      <w:lvlJc w:val="left"/>
      <w:pPr>
        <w:tabs>
          <w:tab w:val="num" w:pos="344"/>
        </w:tabs>
        <w:ind w:left="344" w:hanging="270"/>
      </w:pPr>
      <w:rPr>
        <w:rFonts w:hint="eastAsia"/>
        <w:color w:val="auto"/>
      </w:rPr>
    </w:lvl>
  </w:abstractNum>
  <w:abstractNum w:abstractNumId="13">
    <w:nsid w:val="2EBB7D3E"/>
    <w:multiLevelType w:val="hybridMultilevel"/>
    <w:tmpl w:val="1926271E"/>
    <w:lvl w:ilvl="0" w:tplc="D26E609A">
      <w:start w:val="2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663295F"/>
    <w:multiLevelType w:val="hybridMultilevel"/>
    <w:tmpl w:val="73D2C590"/>
    <w:lvl w:ilvl="0" w:tplc="C54449B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A4B1BCE"/>
    <w:multiLevelType w:val="hybridMultilevel"/>
    <w:tmpl w:val="BD3EAA04"/>
    <w:lvl w:ilvl="0" w:tplc="C36A67D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D32828B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059540A"/>
    <w:multiLevelType w:val="hybridMultilevel"/>
    <w:tmpl w:val="4F7E0BE0"/>
    <w:lvl w:ilvl="0" w:tplc="2DFED42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5F32FF5"/>
    <w:multiLevelType w:val="singleLevel"/>
    <w:tmpl w:val="D63E9B8E"/>
    <w:lvl w:ilvl="0">
      <w:start w:val="1"/>
      <w:numFmt w:val="decimal"/>
      <w:lvlText w:val="%1."/>
      <w:lvlJc w:val="left"/>
      <w:pPr>
        <w:tabs>
          <w:tab w:val="num" w:pos="344"/>
        </w:tabs>
        <w:ind w:left="344" w:hanging="270"/>
      </w:pPr>
      <w:rPr>
        <w:rFonts w:hint="eastAsia"/>
        <w:color w:val="auto"/>
      </w:rPr>
    </w:lvl>
  </w:abstractNum>
  <w:abstractNum w:abstractNumId="18">
    <w:nsid w:val="4CB4490C"/>
    <w:multiLevelType w:val="singleLevel"/>
    <w:tmpl w:val="9D02C5E8"/>
    <w:lvl w:ilvl="0">
      <w:start w:val="1"/>
      <w:numFmt w:val="decimal"/>
      <w:lvlText w:val="%1."/>
      <w:lvlJc w:val="left"/>
      <w:pPr>
        <w:tabs>
          <w:tab w:val="num" w:pos="344"/>
        </w:tabs>
        <w:ind w:left="344" w:hanging="270"/>
      </w:pPr>
      <w:rPr>
        <w:rFonts w:hint="eastAsia"/>
        <w:color w:val="auto"/>
      </w:rPr>
    </w:lvl>
  </w:abstractNum>
  <w:abstractNum w:abstractNumId="19">
    <w:nsid w:val="4CCB5BF0"/>
    <w:multiLevelType w:val="hybridMultilevel"/>
    <w:tmpl w:val="7AE06E9A"/>
    <w:lvl w:ilvl="0" w:tplc="D32828B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DF210CA"/>
    <w:multiLevelType w:val="hybridMultilevel"/>
    <w:tmpl w:val="B024E372"/>
    <w:lvl w:ilvl="0" w:tplc="D32828BC">
      <w:start w:val="1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FC1731A"/>
    <w:multiLevelType w:val="hybridMultilevel"/>
    <w:tmpl w:val="73D2C590"/>
    <w:lvl w:ilvl="0" w:tplc="C54449B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2BB0C7B"/>
    <w:multiLevelType w:val="hybridMultilevel"/>
    <w:tmpl w:val="73D2C590"/>
    <w:lvl w:ilvl="0" w:tplc="C54449B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2C22997"/>
    <w:multiLevelType w:val="hybridMultilevel"/>
    <w:tmpl w:val="73D2C590"/>
    <w:lvl w:ilvl="0" w:tplc="C54449B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8767F1B"/>
    <w:multiLevelType w:val="hybridMultilevel"/>
    <w:tmpl w:val="73D2C590"/>
    <w:lvl w:ilvl="0" w:tplc="C54449B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CAE5483"/>
    <w:multiLevelType w:val="hybridMultilevel"/>
    <w:tmpl w:val="4F7E0BE0"/>
    <w:lvl w:ilvl="0" w:tplc="2DFED42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DE14729"/>
    <w:multiLevelType w:val="hybridMultilevel"/>
    <w:tmpl w:val="73D2C590"/>
    <w:lvl w:ilvl="0" w:tplc="C54449B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EB50EC0"/>
    <w:multiLevelType w:val="hybridMultilevel"/>
    <w:tmpl w:val="BD3EAA04"/>
    <w:lvl w:ilvl="0" w:tplc="C36A67D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D32828B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1082E7D"/>
    <w:multiLevelType w:val="hybridMultilevel"/>
    <w:tmpl w:val="BD3EAA04"/>
    <w:lvl w:ilvl="0" w:tplc="C36A67D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D32828B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2B46BB8"/>
    <w:multiLevelType w:val="hybridMultilevel"/>
    <w:tmpl w:val="4F7E0BE0"/>
    <w:lvl w:ilvl="0" w:tplc="2DFED42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497EB4"/>
    <w:multiLevelType w:val="hybridMultilevel"/>
    <w:tmpl w:val="2ABA6C82"/>
    <w:lvl w:ilvl="0" w:tplc="7E82CFDC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C497AAA"/>
    <w:multiLevelType w:val="hybridMultilevel"/>
    <w:tmpl w:val="B024E372"/>
    <w:lvl w:ilvl="0" w:tplc="D32828B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1075984"/>
    <w:multiLevelType w:val="hybridMultilevel"/>
    <w:tmpl w:val="BD3EAA04"/>
    <w:lvl w:ilvl="0" w:tplc="C36A67D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D32828B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2015918"/>
    <w:multiLevelType w:val="hybridMultilevel"/>
    <w:tmpl w:val="07A8FA92"/>
    <w:lvl w:ilvl="0" w:tplc="C36A67D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4CA2C92"/>
    <w:multiLevelType w:val="hybridMultilevel"/>
    <w:tmpl w:val="73D2C590"/>
    <w:lvl w:ilvl="0" w:tplc="C54449B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75F5881"/>
    <w:multiLevelType w:val="hybridMultilevel"/>
    <w:tmpl w:val="73D2C590"/>
    <w:lvl w:ilvl="0" w:tplc="C54449B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7721FF5"/>
    <w:multiLevelType w:val="hybridMultilevel"/>
    <w:tmpl w:val="4F7E0BE0"/>
    <w:lvl w:ilvl="0" w:tplc="2DFED42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5"/>
  </w:num>
  <w:num w:numId="3">
    <w:abstractNumId w:val="33"/>
  </w:num>
  <w:num w:numId="4">
    <w:abstractNumId w:val="8"/>
  </w:num>
  <w:num w:numId="5">
    <w:abstractNumId w:val="2"/>
  </w:num>
  <w:num w:numId="6">
    <w:abstractNumId w:val="34"/>
  </w:num>
  <w:num w:numId="7">
    <w:abstractNumId w:val="14"/>
  </w:num>
  <w:num w:numId="8">
    <w:abstractNumId w:val="22"/>
  </w:num>
  <w:num w:numId="9">
    <w:abstractNumId w:val="15"/>
  </w:num>
  <w:num w:numId="10">
    <w:abstractNumId w:val="28"/>
  </w:num>
  <w:num w:numId="11">
    <w:abstractNumId w:val="20"/>
  </w:num>
  <w:num w:numId="12">
    <w:abstractNumId w:val="3"/>
  </w:num>
  <w:num w:numId="13">
    <w:abstractNumId w:val="27"/>
  </w:num>
  <w:num w:numId="14">
    <w:abstractNumId w:val="19"/>
  </w:num>
  <w:num w:numId="15">
    <w:abstractNumId w:val="0"/>
  </w:num>
  <w:num w:numId="16">
    <w:abstractNumId w:val="31"/>
  </w:num>
  <w:num w:numId="17">
    <w:abstractNumId w:val="6"/>
  </w:num>
  <w:num w:numId="18">
    <w:abstractNumId w:val="36"/>
  </w:num>
  <w:num w:numId="19">
    <w:abstractNumId w:val="10"/>
  </w:num>
  <w:num w:numId="20">
    <w:abstractNumId w:val="32"/>
  </w:num>
  <w:num w:numId="21">
    <w:abstractNumId w:val="29"/>
  </w:num>
  <w:num w:numId="22">
    <w:abstractNumId w:val="16"/>
  </w:num>
  <w:num w:numId="23">
    <w:abstractNumId w:val="9"/>
  </w:num>
  <w:num w:numId="24">
    <w:abstractNumId w:val="26"/>
  </w:num>
  <w:num w:numId="25">
    <w:abstractNumId w:val="4"/>
  </w:num>
  <w:num w:numId="26">
    <w:abstractNumId w:val="25"/>
  </w:num>
  <w:num w:numId="27">
    <w:abstractNumId w:val="23"/>
  </w:num>
  <w:num w:numId="28">
    <w:abstractNumId w:val="18"/>
  </w:num>
  <w:num w:numId="29">
    <w:abstractNumId w:val="17"/>
  </w:num>
  <w:num w:numId="30">
    <w:abstractNumId w:val="1"/>
  </w:num>
  <w:num w:numId="31">
    <w:abstractNumId w:val="12"/>
  </w:num>
  <w:num w:numId="32">
    <w:abstractNumId w:val="18"/>
    <w:lvlOverride w:ilvl="0">
      <w:startOverride w:val="1"/>
    </w:lvlOverride>
  </w:num>
  <w:num w:numId="33">
    <w:abstractNumId w:val="17"/>
    <w:lvlOverride w:ilvl="0">
      <w:startOverride w:val="1"/>
    </w:lvlOverride>
  </w:num>
  <w:num w:numId="34">
    <w:abstractNumId w:val="35"/>
  </w:num>
  <w:num w:numId="35">
    <w:abstractNumId w:val="24"/>
  </w:num>
  <w:num w:numId="36">
    <w:abstractNumId w:val="13"/>
  </w:num>
  <w:num w:numId="37">
    <w:abstractNumId w:val="7"/>
  </w:num>
  <w:num w:numId="38">
    <w:abstractNumId w:val="3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5F"/>
    <w:rsid w:val="00013B24"/>
    <w:rsid w:val="000154BD"/>
    <w:rsid w:val="00025E18"/>
    <w:rsid w:val="000372A7"/>
    <w:rsid w:val="000623E2"/>
    <w:rsid w:val="00077861"/>
    <w:rsid w:val="0009531E"/>
    <w:rsid w:val="000A41B9"/>
    <w:rsid w:val="000C0E39"/>
    <w:rsid w:val="000F61AF"/>
    <w:rsid w:val="00117E0F"/>
    <w:rsid w:val="00125610"/>
    <w:rsid w:val="00132B75"/>
    <w:rsid w:val="001B4443"/>
    <w:rsid w:val="001C0B7E"/>
    <w:rsid w:val="001E027F"/>
    <w:rsid w:val="00203BA5"/>
    <w:rsid w:val="0020763A"/>
    <w:rsid w:val="00233B5F"/>
    <w:rsid w:val="00253CC4"/>
    <w:rsid w:val="002815C5"/>
    <w:rsid w:val="002857C7"/>
    <w:rsid w:val="002E6477"/>
    <w:rsid w:val="003007EE"/>
    <w:rsid w:val="00311F3C"/>
    <w:rsid w:val="00346DCC"/>
    <w:rsid w:val="00381518"/>
    <w:rsid w:val="003A6C79"/>
    <w:rsid w:val="003A7D91"/>
    <w:rsid w:val="003B5041"/>
    <w:rsid w:val="003D6766"/>
    <w:rsid w:val="003F7102"/>
    <w:rsid w:val="00443F62"/>
    <w:rsid w:val="004454F9"/>
    <w:rsid w:val="00460456"/>
    <w:rsid w:val="004876D7"/>
    <w:rsid w:val="00494CFD"/>
    <w:rsid w:val="004A150D"/>
    <w:rsid w:val="004B3DA8"/>
    <w:rsid w:val="004B4590"/>
    <w:rsid w:val="004B5684"/>
    <w:rsid w:val="004B6E24"/>
    <w:rsid w:val="004D6565"/>
    <w:rsid w:val="004E020E"/>
    <w:rsid w:val="004E3B79"/>
    <w:rsid w:val="00502529"/>
    <w:rsid w:val="00504963"/>
    <w:rsid w:val="00511053"/>
    <w:rsid w:val="00516E52"/>
    <w:rsid w:val="00533F64"/>
    <w:rsid w:val="00542719"/>
    <w:rsid w:val="005636BB"/>
    <w:rsid w:val="00580A37"/>
    <w:rsid w:val="00592ED2"/>
    <w:rsid w:val="005A4130"/>
    <w:rsid w:val="005A6477"/>
    <w:rsid w:val="005A7DA7"/>
    <w:rsid w:val="005B631F"/>
    <w:rsid w:val="005C17F5"/>
    <w:rsid w:val="005E338C"/>
    <w:rsid w:val="005E3402"/>
    <w:rsid w:val="005F0B11"/>
    <w:rsid w:val="006079AA"/>
    <w:rsid w:val="00614858"/>
    <w:rsid w:val="00630003"/>
    <w:rsid w:val="0063140B"/>
    <w:rsid w:val="006339D1"/>
    <w:rsid w:val="00657536"/>
    <w:rsid w:val="00667021"/>
    <w:rsid w:val="00672008"/>
    <w:rsid w:val="00677011"/>
    <w:rsid w:val="00680512"/>
    <w:rsid w:val="00692E2B"/>
    <w:rsid w:val="006B2BA8"/>
    <w:rsid w:val="006B453A"/>
    <w:rsid w:val="006B6139"/>
    <w:rsid w:val="006B64D1"/>
    <w:rsid w:val="006F58F4"/>
    <w:rsid w:val="00746984"/>
    <w:rsid w:val="00756B08"/>
    <w:rsid w:val="007914AA"/>
    <w:rsid w:val="0079300A"/>
    <w:rsid w:val="007D747F"/>
    <w:rsid w:val="00811882"/>
    <w:rsid w:val="008407DB"/>
    <w:rsid w:val="00842DF1"/>
    <w:rsid w:val="00853056"/>
    <w:rsid w:val="00871282"/>
    <w:rsid w:val="008741EB"/>
    <w:rsid w:val="008A362D"/>
    <w:rsid w:val="008B12A1"/>
    <w:rsid w:val="008C1679"/>
    <w:rsid w:val="008D2303"/>
    <w:rsid w:val="008D4D1B"/>
    <w:rsid w:val="008E6696"/>
    <w:rsid w:val="00926631"/>
    <w:rsid w:val="00940008"/>
    <w:rsid w:val="0095618C"/>
    <w:rsid w:val="0097099B"/>
    <w:rsid w:val="00974A4A"/>
    <w:rsid w:val="0098041C"/>
    <w:rsid w:val="009805C5"/>
    <w:rsid w:val="00985016"/>
    <w:rsid w:val="00985DE2"/>
    <w:rsid w:val="009A0806"/>
    <w:rsid w:val="009B6784"/>
    <w:rsid w:val="009B7D16"/>
    <w:rsid w:val="009C47AD"/>
    <w:rsid w:val="009F0456"/>
    <w:rsid w:val="00A3123C"/>
    <w:rsid w:val="00A327C8"/>
    <w:rsid w:val="00A32CC5"/>
    <w:rsid w:val="00A354B1"/>
    <w:rsid w:val="00A36544"/>
    <w:rsid w:val="00A95913"/>
    <w:rsid w:val="00A97875"/>
    <w:rsid w:val="00AA7415"/>
    <w:rsid w:val="00AB5B93"/>
    <w:rsid w:val="00AD5544"/>
    <w:rsid w:val="00AE3CDE"/>
    <w:rsid w:val="00B24F1E"/>
    <w:rsid w:val="00B749A6"/>
    <w:rsid w:val="00B81CE3"/>
    <w:rsid w:val="00B95CC1"/>
    <w:rsid w:val="00B96F69"/>
    <w:rsid w:val="00BB0879"/>
    <w:rsid w:val="00BB0C2B"/>
    <w:rsid w:val="00BC2067"/>
    <w:rsid w:val="00BC4557"/>
    <w:rsid w:val="00BE06F7"/>
    <w:rsid w:val="00BF7C25"/>
    <w:rsid w:val="00C1144C"/>
    <w:rsid w:val="00C24BAB"/>
    <w:rsid w:val="00C36C56"/>
    <w:rsid w:val="00C37E9B"/>
    <w:rsid w:val="00C41E4C"/>
    <w:rsid w:val="00C70155"/>
    <w:rsid w:val="00C966B4"/>
    <w:rsid w:val="00CB3D2E"/>
    <w:rsid w:val="00CB4163"/>
    <w:rsid w:val="00CB7F1B"/>
    <w:rsid w:val="00CF4289"/>
    <w:rsid w:val="00D101A2"/>
    <w:rsid w:val="00D11DB1"/>
    <w:rsid w:val="00D15EB6"/>
    <w:rsid w:val="00D3626C"/>
    <w:rsid w:val="00D723CA"/>
    <w:rsid w:val="00D806DA"/>
    <w:rsid w:val="00DA327E"/>
    <w:rsid w:val="00DA6D16"/>
    <w:rsid w:val="00DB0E40"/>
    <w:rsid w:val="00DC4687"/>
    <w:rsid w:val="00DE50F6"/>
    <w:rsid w:val="00E1600A"/>
    <w:rsid w:val="00E22EAF"/>
    <w:rsid w:val="00E2387C"/>
    <w:rsid w:val="00E351EB"/>
    <w:rsid w:val="00E606CE"/>
    <w:rsid w:val="00E72431"/>
    <w:rsid w:val="00E774E5"/>
    <w:rsid w:val="00E81398"/>
    <w:rsid w:val="00E94A40"/>
    <w:rsid w:val="00EE2491"/>
    <w:rsid w:val="00EE7116"/>
    <w:rsid w:val="00EF0288"/>
    <w:rsid w:val="00F0508B"/>
    <w:rsid w:val="00F15BDC"/>
    <w:rsid w:val="00F252CE"/>
    <w:rsid w:val="00F64364"/>
    <w:rsid w:val="00F8164B"/>
    <w:rsid w:val="00FB09D7"/>
    <w:rsid w:val="00FB6D28"/>
    <w:rsid w:val="00FE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5F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327C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5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455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45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4557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35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351E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966B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95913"/>
    <w:pPr>
      <w:ind w:leftChars="200" w:left="480"/>
    </w:pPr>
  </w:style>
  <w:style w:type="character" w:styleId="ab">
    <w:name w:val="page number"/>
    <w:basedOn w:val="a0"/>
    <w:semiHidden/>
    <w:rsid w:val="00460456"/>
  </w:style>
  <w:style w:type="character" w:customStyle="1" w:styleId="table-title">
    <w:name w:val="table-title"/>
    <w:basedOn w:val="a0"/>
    <w:rsid w:val="004B3DA8"/>
  </w:style>
  <w:style w:type="character" w:customStyle="1" w:styleId="10">
    <w:name w:val="標題 1 字元"/>
    <w:basedOn w:val="a0"/>
    <w:link w:val="1"/>
    <w:uiPriority w:val="9"/>
    <w:rsid w:val="00A327C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TOC Heading"/>
    <w:basedOn w:val="1"/>
    <w:next w:val="a"/>
    <w:uiPriority w:val="39"/>
    <w:unhideWhenUsed/>
    <w:qFormat/>
    <w:rsid w:val="00A327C8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1E027F"/>
    <w:pPr>
      <w:tabs>
        <w:tab w:val="right" w:leader="dot" w:pos="9628"/>
      </w:tabs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A327C8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327C8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5F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327C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5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455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45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4557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35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351E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966B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95913"/>
    <w:pPr>
      <w:ind w:leftChars="200" w:left="480"/>
    </w:pPr>
  </w:style>
  <w:style w:type="character" w:styleId="ab">
    <w:name w:val="page number"/>
    <w:basedOn w:val="a0"/>
    <w:semiHidden/>
    <w:rsid w:val="00460456"/>
  </w:style>
  <w:style w:type="character" w:customStyle="1" w:styleId="table-title">
    <w:name w:val="table-title"/>
    <w:basedOn w:val="a0"/>
    <w:rsid w:val="004B3DA8"/>
  </w:style>
  <w:style w:type="character" w:customStyle="1" w:styleId="10">
    <w:name w:val="標題 1 字元"/>
    <w:basedOn w:val="a0"/>
    <w:link w:val="1"/>
    <w:uiPriority w:val="9"/>
    <w:rsid w:val="00A327C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TOC Heading"/>
    <w:basedOn w:val="1"/>
    <w:next w:val="a"/>
    <w:uiPriority w:val="39"/>
    <w:unhideWhenUsed/>
    <w:qFormat/>
    <w:rsid w:val="00A327C8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1E027F"/>
    <w:pPr>
      <w:tabs>
        <w:tab w:val="right" w:leader="dot" w:pos="9628"/>
      </w:tabs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A327C8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327C8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87EF9-F8B0-4B69-9300-B6C9617D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柯馥甄</dc:creator>
  <cp:lastModifiedBy>櫃檯買賣中心</cp:lastModifiedBy>
  <cp:revision>3</cp:revision>
  <cp:lastPrinted>2016-01-22T03:31:00Z</cp:lastPrinted>
  <dcterms:created xsi:type="dcterms:W3CDTF">2016-02-02T00:38:00Z</dcterms:created>
  <dcterms:modified xsi:type="dcterms:W3CDTF">2016-02-02T00:44:00Z</dcterms:modified>
</cp:coreProperties>
</file>