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359BEE" w14:textId="77777777" w:rsidR="008B21FF" w:rsidRPr="008B21FF" w:rsidRDefault="008B21FF" w:rsidP="008B21FF">
      <w:pPr>
        <w:snapToGrid/>
        <w:jc w:val="center"/>
        <w:rPr>
          <w:rFonts w:hint="eastAsia"/>
          <w:bCs/>
          <w:sz w:val="32"/>
          <w:szCs w:val="32"/>
        </w:rPr>
      </w:pPr>
      <w:r w:rsidRPr="008B21FF">
        <w:rPr>
          <w:rFonts w:hint="eastAsia"/>
          <w:bCs/>
          <w:sz w:val="32"/>
          <w:szCs w:val="32"/>
        </w:rPr>
        <w:t>不限用途款項借貸擔保品</w:t>
      </w:r>
      <w:r w:rsidRPr="008B21FF">
        <w:rPr>
          <w:rFonts w:cs="標楷體" w:hint="eastAsia"/>
          <w:bCs/>
          <w:kern w:val="0"/>
          <w:sz w:val="32"/>
          <w:szCs w:val="32"/>
          <w:lang w:val="zh-TW"/>
        </w:rPr>
        <w:t>分配</w:t>
      </w:r>
      <w:proofErr w:type="gramStart"/>
      <w:r w:rsidRPr="008B21FF">
        <w:rPr>
          <w:rFonts w:cs="標楷體" w:hint="eastAsia"/>
          <w:bCs/>
          <w:kern w:val="0"/>
          <w:sz w:val="32"/>
          <w:szCs w:val="32"/>
          <w:lang w:val="zh-TW"/>
        </w:rPr>
        <w:t>檔</w:t>
      </w:r>
      <w:proofErr w:type="gramEnd"/>
    </w:p>
    <w:p w14:paraId="38ABB927" w14:textId="77777777" w:rsidR="008B21FF" w:rsidRPr="00B9704C" w:rsidRDefault="008B21FF" w:rsidP="008B21FF">
      <w:pPr>
        <w:rPr>
          <w:rFonts w:hint="eastAsia"/>
        </w:rPr>
      </w:pPr>
    </w:p>
    <w:p w14:paraId="2EEADB48" w14:textId="77777777" w:rsidR="008B21FF" w:rsidRPr="00B9704C" w:rsidRDefault="008B21FF" w:rsidP="008B21FF">
      <w:pPr>
        <w:pStyle w:val="4"/>
        <w:rPr>
          <w:rFonts w:hint="eastAsia"/>
        </w:rPr>
      </w:pPr>
      <w:r w:rsidRPr="00B9704C">
        <w:rPr>
          <w:rFonts w:hint="eastAsia"/>
        </w:rPr>
        <w:t>檔案結構</w:t>
      </w:r>
      <w:proofErr w:type="gramStart"/>
      <w:r w:rsidRPr="00B9704C">
        <w:t>︰</w:t>
      </w:r>
      <w:proofErr w:type="gramEnd"/>
      <w:r w:rsidRPr="00B9704C">
        <w:t>U</w:t>
      </w:r>
      <w:r w:rsidRPr="00B9704C">
        <w:rPr>
          <w:rFonts w:hint="eastAsia"/>
        </w:rPr>
        <w:t xml:space="preserve">　檔案長度</w:t>
      </w:r>
      <w:proofErr w:type="gramStart"/>
      <w:r w:rsidRPr="00B9704C">
        <w:t>︰</w:t>
      </w:r>
      <w:proofErr w:type="gramEnd"/>
      <w:r w:rsidRPr="00B9704C">
        <w:t>30</w:t>
      </w:r>
      <w:r w:rsidRPr="00B9704C">
        <w:rPr>
          <w:rFonts w:hint="eastAsia"/>
        </w:rPr>
        <w:t xml:space="preserve">　檔案代號</w:t>
      </w:r>
      <w:proofErr w:type="gramStart"/>
      <w:r w:rsidRPr="00B9704C">
        <w:t>︰</w:t>
      </w:r>
      <w:proofErr w:type="gramEnd"/>
      <w:r w:rsidRPr="00B9704C">
        <w:t>T</w:t>
      </w:r>
      <w:r w:rsidRPr="00B9704C">
        <w:rPr>
          <w:rFonts w:hint="eastAsia"/>
        </w:rPr>
        <w:t>52</w:t>
      </w:r>
    </w:p>
    <w:tbl>
      <w:tblPr>
        <w:tblW w:w="0" w:type="auto"/>
        <w:tblInd w:w="8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05"/>
        <w:gridCol w:w="1356"/>
        <w:gridCol w:w="3819"/>
        <w:tblGridChange w:id="0">
          <w:tblGrid>
            <w:gridCol w:w="2905"/>
            <w:gridCol w:w="1356"/>
            <w:gridCol w:w="3819"/>
          </w:tblGrid>
        </w:tblGridChange>
      </w:tblGrid>
      <w:tr w:rsidR="008B21FF" w:rsidRPr="00B9704C" w14:paraId="369F4B30" w14:textId="77777777" w:rsidTr="00E077C6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2905" w:type="dxa"/>
            <w:vAlign w:val="center"/>
          </w:tcPr>
          <w:p w14:paraId="02EB2DAE" w14:textId="77777777" w:rsidR="008B21FF" w:rsidRPr="00B9704C" w:rsidRDefault="008B21FF" w:rsidP="00E077C6">
            <w:pPr>
              <w:jc w:val="center"/>
              <w:rPr>
                <w:rFonts w:hint="eastAsia"/>
              </w:rPr>
            </w:pPr>
            <w:r w:rsidRPr="00B9704C">
              <w:rPr>
                <w:rFonts w:hint="eastAsia"/>
              </w:rPr>
              <w:t>欄　位　名　稱</w:t>
            </w:r>
          </w:p>
        </w:tc>
        <w:tc>
          <w:tcPr>
            <w:tcW w:w="1356" w:type="dxa"/>
            <w:vAlign w:val="center"/>
          </w:tcPr>
          <w:p w14:paraId="13441B7E" w14:textId="77777777" w:rsidR="008B21FF" w:rsidRPr="00B9704C" w:rsidRDefault="008B21FF" w:rsidP="00E077C6">
            <w:pPr>
              <w:jc w:val="center"/>
              <w:rPr>
                <w:rFonts w:hint="eastAsia"/>
              </w:rPr>
            </w:pPr>
            <w:r w:rsidRPr="00B9704C">
              <w:rPr>
                <w:rFonts w:hint="eastAsia"/>
              </w:rPr>
              <w:t>長　　度</w:t>
            </w:r>
          </w:p>
        </w:tc>
        <w:tc>
          <w:tcPr>
            <w:tcW w:w="3819" w:type="dxa"/>
            <w:vAlign w:val="center"/>
          </w:tcPr>
          <w:p w14:paraId="36DF7BDB" w14:textId="77777777" w:rsidR="008B21FF" w:rsidRPr="00B9704C" w:rsidRDefault="008B21FF" w:rsidP="00E077C6">
            <w:pPr>
              <w:jc w:val="center"/>
              <w:rPr>
                <w:rFonts w:hint="eastAsia"/>
              </w:rPr>
            </w:pPr>
            <w:r w:rsidRPr="00B9704C">
              <w:rPr>
                <w:rFonts w:hint="eastAsia"/>
              </w:rPr>
              <w:t>說　　　　　　明</w:t>
            </w:r>
          </w:p>
        </w:tc>
      </w:tr>
      <w:tr w:rsidR="008B21FF" w:rsidRPr="00B9704C" w14:paraId="24015E11" w14:textId="77777777" w:rsidTr="00E077C6">
        <w:tblPrEx>
          <w:tblCellMar>
            <w:top w:w="0" w:type="dxa"/>
            <w:bottom w:w="0" w:type="dxa"/>
          </w:tblCellMar>
        </w:tblPrEx>
        <w:tc>
          <w:tcPr>
            <w:tcW w:w="2905" w:type="dxa"/>
          </w:tcPr>
          <w:p w14:paraId="181446FC" w14:textId="77777777" w:rsidR="008B21FF" w:rsidRPr="00B9704C" w:rsidRDefault="008B21FF" w:rsidP="00E077C6">
            <w:pPr>
              <w:spacing w:line="240" w:lineRule="auto"/>
              <w:ind w:left="113"/>
            </w:pPr>
            <w:r w:rsidRPr="00B9704C">
              <w:rPr>
                <w:rFonts w:hint="eastAsia"/>
              </w:rPr>
              <w:t>ANY-</w:t>
            </w:r>
            <w:r w:rsidRPr="00B9704C">
              <w:t>STOCK-NO</w:t>
            </w:r>
          </w:p>
        </w:tc>
        <w:tc>
          <w:tcPr>
            <w:tcW w:w="1356" w:type="dxa"/>
            <w:vAlign w:val="center"/>
          </w:tcPr>
          <w:p w14:paraId="5CF3DD27" w14:textId="77777777" w:rsidR="008B21FF" w:rsidRPr="00B9704C" w:rsidRDefault="008B21FF" w:rsidP="00E077C6">
            <w:pPr>
              <w:spacing w:line="240" w:lineRule="auto"/>
              <w:ind w:left="113"/>
              <w:jc w:val="center"/>
            </w:pPr>
            <w:proofErr w:type="gramStart"/>
            <w:r w:rsidRPr="00B9704C">
              <w:t>X(</w:t>
            </w:r>
            <w:proofErr w:type="gramEnd"/>
            <w:r w:rsidRPr="00B9704C">
              <w:t>06)</w:t>
            </w:r>
          </w:p>
        </w:tc>
        <w:tc>
          <w:tcPr>
            <w:tcW w:w="3819" w:type="dxa"/>
          </w:tcPr>
          <w:p w14:paraId="1278166F" w14:textId="77777777" w:rsidR="008B21FF" w:rsidRPr="00B9704C" w:rsidRDefault="008B21FF" w:rsidP="00E077C6">
            <w:pPr>
              <w:spacing w:line="240" w:lineRule="auto"/>
              <w:rPr>
                <w:rFonts w:hint="eastAsia"/>
              </w:rPr>
            </w:pPr>
            <w:r w:rsidRPr="00B9704C">
              <w:rPr>
                <w:rFonts w:hAnsi="標楷體" w:hint="eastAsia"/>
              </w:rPr>
              <w:t>股票</w:t>
            </w:r>
            <w:r w:rsidRPr="00B9704C">
              <w:rPr>
                <w:rFonts w:hint="eastAsia"/>
              </w:rPr>
              <w:t>代號</w:t>
            </w:r>
          </w:p>
        </w:tc>
      </w:tr>
      <w:tr w:rsidR="008B21FF" w:rsidRPr="00B9704C" w14:paraId="3254759D" w14:textId="77777777" w:rsidTr="00E077C6">
        <w:tblPrEx>
          <w:tblCellMar>
            <w:top w:w="0" w:type="dxa"/>
            <w:bottom w:w="0" w:type="dxa"/>
          </w:tblCellMar>
        </w:tblPrEx>
        <w:tc>
          <w:tcPr>
            <w:tcW w:w="2905" w:type="dxa"/>
          </w:tcPr>
          <w:p w14:paraId="63827F6D" w14:textId="77777777" w:rsidR="008B21FF" w:rsidRPr="00B9704C" w:rsidRDefault="008B21FF" w:rsidP="00E077C6">
            <w:pPr>
              <w:spacing w:line="240" w:lineRule="auto"/>
              <w:ind w:left="113"/>
            </w:pPr>
            <w:r w:rsidRPr="00B9704C">
              <w:rPr>
                <w:rFonts w:hint="eastAsia"/>
              </w:rPr>
              <w:t>ANY-</w:t>
            </w:r>
            <w:r w:rsidRPr="00B9704C">
              <w:t>BRK</w:t>
            </w:r>
            <w:r w:rsidRPr="00B9704C">
              <w:rPr>
                <w:rFonts w:hint="eastAsia"/>
              </w:rPr>
              <w:t>ID</w:t>
            </w:r>
          </w:p>
        </w:tc>
        <w:tc>
          <w:tcPr>
            <w:tcW w:w="1356" w:type="dxa"/>
            <w:vAlign w:val="center"/>
          </w:tcPr>
          <w:p w14:paraId="205F5CDB" w14:textId="77777777" w:rsidR="008B21FF" w:rsidRPr="00B9704C" w:rsidRDefault="008B21FF" w:rsidP="00E077C6">
            <w:pPr>
              <w:spacing w:line="240" w:lineRule="auto"/>
              <w:ind w:left="113"/>
              <w:jc w:val="center"/>
            </w:pPr>
            <w:proofErr w:type="gramStart"/>
            <w:r w:rsidRPr="00B9704C">
              <w:t>X(</w:t>
            </w:r>
            <w:proofErr w:type="gramEnd"/>
            <w:r w:rsidRPr="00B9704C">
              <w:t>04)</w:t>
            </w:r>
          </w:p>
        </w:tc>
        <w:tc>
          <w:tcPr>
            <w:tcW w:w="3819" w:type="dxa"/>
          </w:tcPr>
          <w:p w14:paraId="0579F263" w14:textId="77777777" w:rsidR="008B21FF" w:rsidRPr="00B9704C" w:rsidRDefault="008B21FF" w:rsidP="00E077C6">
            <w:pPr>
              <w:spacing w:line="240" w:lineRule="auto"/>
              <w:rPr>
                <w:rFonts w:hint="eastAsia"/>
              </w:rPr>
            </w:pPr>
            <w:r w:rsidRPr="00B9704C">
              <w:rPr>
                <w:rFonts w:hint="eastAsia"/>
              </w:rPr>
              <w:t>證券商代號</w:t>
            </w:r>
          </w:p>
        </w:tc>
      </w:tr>
      <w:tr w:rsidR="008B21FF" w:rsidRPr="00B9704C" w14:paraId="30972A65" w14:textId="77777777" w:rsidTr="00E077C6">
        <w:tblPrEx>
          <w:tblCellMar>
            <w:top w:w="0" w:type="dxa"/>
            <w:bottom w:w="0" w:type="dxa"/>
          </w:tblCellMar>
        </w:tblPrEx>
        <w:tc>
          <w:tcPr>
            <w:tcW w:w="2905" w:type="dxa"/>
          </w:tcPr>
          <w:p w14:paraId="6D30E3F8" w14:textId="77777777" w:rsidR="008B21FF" w:rsidRPr="00B9704C" w:rsidRDefault="008B21FF" w:rsidP="00E077C6">
            <w:pPr>
              <w:spacing w:line="240" w:lineRule="auto"/>
              <w:ind w:left="113"/>
              <w:rPr>
                <w:rFonts w:hint="eastAsia"/>
              </w:rPr>
            </w:pPr>
            <w:r w:rsidRPr="00B9704C">
              <w:rPr>
                <w:rFonts w:hint="eastAsia"/>
              </w:rPr>
              <w:t>ANY-</w:t>
            </w:r>
            <w:r w:rsidRPr="00B9704C">
              <w:t>DIS-QTY</w:t>
            </w:r>
          </w:p>
        </w:tc>
        <w:tc>
          <w:tcPr>
            <w:tcW w:w="1356" w:type="dxa"/>
            <w:vAlign w:val="center"/>
          </w:tcPr>
          <w:p w14:paraId="07A69C6E" w14:textId="77777777" w:rsidR="008B21FF" w:rsidRPr="00B9704C" w:rsidRDefault="008B21FF" w:rsidP="00E077C6">
            <w:pPr>
              <w:spacing w:line="240" w:lineRule="auto"/>
              <w:ind w:left="113"/>
              <w:jc w:val="center"/>
            </w:pPr>
            <w:r w:rsidRPr="00B9704C">
              <w:t>9(0</w:t>
            </w:r>
            <w:r w:rsidRPr="00B9704C">
              <w:rPr>
                <w:rFonts w:hint="eastAsia"/>
              </w:rPr>
              <w:t>8</w:t>
            </w:r>
            <w:r w:rsidRPr="00B9704C">
              <w:t>)</w:t>
            </w:r>
          </w:p>
        </w:tc>
        <w:tc>
          <w:tcPr>
            <w:tcW w:w="3819" w:type="dxa"/>
          </w:tcPr>
          <w:p w14:paraId="1DCBDAD7" w14:textId="77777777" w:rsidR="008B21FF" w:rsidRPr="00B9704C" w:rsidRDefault="008B21FF" w:rsidP="00E077C6">
            <w:pPr>
              <w:spacing w:line="240" w:lineRule="auto"/>
              <w:rPr>
                <w:rFonts w:hint="eastAsia"/>
              </w:rPr>
            </w:pPr>
            <w:r w:rsidRPr="00B9704C">
              <w:rPr>
                <w:rFonts w:hint="eastAsia"/>
              </w:rPr>
              <w:t>分配數量</w:t>
            </w:r>
          </w:p>
        </w:tc>
      </w:tr>
      <w:tr w:rsidR="008B21FF" w:rsidRPr="00B9704C" w14:paraId="7B2A4470" w14:textId="77777777" w:rsidTr="00E077C6">
        <w:tblPrEx>
          <w:tblCellMar>
            <w:top w:w="0" w:type="dxa"/>
            <w:bottom w:w="0" w:type="dxa"/>
          </w:tblCellMar>
        </w:tblPrEx>
        <w:tc>
          <w:tcPr>
            <w:tcW w:w="2905" w:type="dxa"/>
          </w:tcPr>
          <w:p w14:paraId="324238B0" w14:textId="77777777" w:rsidR="008B21FF" w:rsidRPr="00182D6D" w:rsidRDefault="008B21FF" w:rsidP="00E077C6">
            <w:pPr>
              <w:spacing w:line="240" w:lineRule="auto"/>
              <w:ind w:left="113"/>
              <w:rPr>
                <w:rFonts w:hint="eastAsia"/>
                <w:b/>
                <w:color w:val="FF0000"/>
              </w:rPr>
            </w:pPr>
            <w:r w:rsidRPr="00182D6D">
              <w:rPr>
                <w:rFonts w:hint="eastAsia"/>
                <w:b/>
                <w:color w:val="FF0000"/>
              </w:rPr>
              <w:t>ANY-SUSPEND</w:t>
            </w:r>
          </w:p>
        </w:tc>
        <w:tc>
          <w:tcPr>
            <w:tcW w:w="1356" w:type="dxa"/>
            <w:vAlign w:val="center"/>
          </w:tcPr>
          <w:p w14:paraId="3185832B" w14:textId="77777777" w:rsidR="008B21FF" w:rsidRPr="00182D6D" w:rsidRDefault="008B21FF" w:rsidP="00E077C6">
            <w:pPr>
              <w:spacing w:line="240" w:lineRule="auto"/>
              <w:ind w:left="113"/>
              <w:jc w:val="center"/>
              <w:rPr>
                <w:b/>
                <w:color w:val="FF0000"/>
              </w:rPr>
            </w:pPr>
            <w:proofErr w:type="gramStart"/>
            <w:r w:rsidRPr="00182D6D">
              <w:rPr>
                <w:rFonts w:hint="eastAsia"/>
                <w:b/>
                <w:color w:val="FF0000"/>
              </w:rPr>
              <w:t>X(</w:t>
            </w:r>
            <w:proofErr w:type="gramEnd"/>
            <w:r w:rsidRPr="00182D6D">
              <w:rPr>
                <w:rFonts w:hint="eastAsia"/>
                <w:b/>
                <w:color w:val="FF0000"/>
              </w:rPr>
              <w:t>01)</w:t>
            </w:r>
          </w:p>
        </w:tc>
        <w:tc>
          <w:tcPr>
            <w:tcW w:w="3819" w:type="dxa"/>
          </w:tcPr>
          <w:p w14:paraId="6A05CA2E" w14:textId="77777777" w:rsidR="008B21FF" w:rsidRPr="00182D6D" w:rsidRDefault="008B21FF" w:rsidP="00E077C6">
            <w:pPr>
              <w:spacing w:line="240" w:lineRule="auto"/>
              <w:rPr>
                <w:rFonts w:hint="eastAsia"/>
                <w:b/>
                <w:color w:val="FF0000"/>
              </w:rPr>
            </w:pPr>
            <w:r w:rsidRPr="00253B73">
              <w:rPr>
                <w:rFonts w:hint="eastAsia"/>
                <w:b/>
                <w:color w:val="FF0000"/>
              </w:rPr>
              <w:t>停止買賣</w:t>
            </w:r>
          </w:p>
        </w:tc>
      </w:tr>
      <w:tr w:rsidR="008B21FF" w:rsidRPr="00B9704C" w14:paraId="062B0074" w14:textId="77777777" w:rsidTr="00E077C6">
        <w:tblPrEx>
          <w:tblCellMar>
            <w:top w:w="0" w:type="dxa"/>
            <w:bottom w:w="0" w:type="dxa"/>
          </w:tblCellMar>
        </w:tblPrEx>
        <w:tc>
          <w:tcPr>
            <w:tcW w:w="2905" w:type="dxa"/>
          </w:tcPr>
          <w:p w14:paraId="1F9074F3" w14:textId="77777777" w:rsidR="008B21FF" w:rsidRPr="00182D6D" w:rsidRDefault="008B21FF" w:rsidP="00E077C6">
            <w:pPr>
              <w:spacing w:line="240" w:lineRule="auto"/>
              <w:ind w:left="113"/>
              <w:rPr>
                <w:rFonts w:hint="eastAsia"/>
                <w:b/>
                <w:color w:val="FF0000"/>
              </w:rPr>
            </w:pPr>
            <w:r w:rsidRPr="00182D6D">
              <w:rPr>
                <w:b/>
                <w:color w:val="FF0000"/>
              </w:rPr>
              <w:t>FILLER</w:t>
            </w:r>
          </w:p>
        </w:tc>
        <w:tc>
          <w:tcPr>
            <w:tcW w:w="1356" w:type="dxa"/>
            <w:vAlign w:val="center"/>
          </w:tcPr>
          <w:p w14:paraId="03E3564A" w14:textId="77777777" w:rsidR="008B21FF" w:rsidRPr="00182D6D" w:rsidRDefault="008B21FF" w:rsidP="00E077C6">
            <w:pPr>
              <w:spacing w:line="240" w:lineRule="auto"/>
              <w:ind w:left="113"/>
              <w:jc w:val="center"/>
              <w:rPr>
                <w:b/>
                <w:color w:val="FF0000"/>
              </w:rPr>
            </w:pPr>
            <w:proofErr w:type="gramStart"/>
            <w:r w:rsidRPr="00182D6D">
              <w:rPr>
                <w:b/>
                <w:color w:val="FF0000"/>
              </w:rPr>
              <w:t>X(</w:t>
            </w:r>
            <w:proofErr w:type="gramEnd"/>
            <w:r w:rsidRPr="00182D6D">
              <w:rPr>
                <w:b/>
                <w:color w:val="FF0000"/>
              </w:rPr>
              <w:t>11)</w:t>
            </w:r>
          </w:p>
        </w:tc>
        <w:tc>
          <w:tcPr>
            <w:tcW w:w="3819" w:type="dxa"/>
          </w:tcPr>
          <w:p w14:paraId="4371F75A" w14:textId="77777777" w:rsidR="008B21FF" w:rsidRPr="00182D6D" w:rsidRDefault="008B21FF" w:rsidP="00E077C6">
            <w:pPr>
              <w:spacing w:line="240" w:lineRule="auto"/>
              <w:rPr>
                <w:rFonts w:hint="eastAsia"/>
                <w:b/>
                <w:color w:val="FF0000"/>
              </w:rPr>
            </w:pPr>
            <w:r w:rsidRPr="00182D6D">
              <w:rPr>
                <w:rFonts w:hint="eastAsia"/>
                <w:b/>
                <w:color w:val="FF0000"/>
              </w:rPr>
              <w:t>空白</w:t>
            </w:r>
          </w:p>
        </w:tc>
      </w:tr>
      <w:tr w:rsidR="008B21FF" w:rsidRPr="00B9704C" w14:paraId="26220739" w14:textId="77777777" w:rsidTr="00E077C6">
        <w:tblPrEx>
          <w:tblCellMar>
            <w:top w:w="0" w:type="dxa"/>
            <w:bottom w:w="0" w:type="dxa"/>
          </w:tblCellMar>
        </w:tblPrEx>
        <w:tc>
          <w:tcPr>
            <w:tcW w:w="8080" w:type="dxa"/>
            <w:gridSpan w:val="3"/>
          </w:tcPr>
          <w:p w14:paraId="3ABD23EE" w14:textId="77777777" w:rsidR="008B21FF" w:rsidRPr="00B9704C" w:rsidRDefault="008B21FF" w:rsidP="00E077C6">
            <w:pPr>
              <w:pStyle w:val="1"/>
              <w:spacing w:line="340" w:lineRule="exact"/>
              <w:ind w:firstLineChars="0" w:firstLine="0"/>
              <w:rPr>
                <w:rFonts w:hint="eastAsia"/>
              </w:rPr>
            </w:pPr>
            <w:r w:rsidRPr="00B9704C">
              <w:rPr>
                <w:rFonts w:hint="eastAsia"/>
              </w:rPr>
              <w:t>說明：</w:t>
            </w:r>
          </w:p>
          <w:p w14:paraId="0518275F" w14:textId="77777777" w:rsidR="008B21FF" w:rsidRPr="00B9704C" w:rsidRDefault="008B21FF" w:rsidP="00E077C6">
            <w:pPr>
              <w:adjustRightInd w:val="0"/>
              <w:snapToGrid/>
              <w:spacing w:line="360" w:lineRule="atLeast"/>
              <w:ind w:firstLineChars="200" w:firstLine="560"/>
              <w:jc w:val="left"/>
              <w:textAlignment w:val="baseline"/>
              <w:rPr>
                <w:rFonts w:hAnsi="標楷體" w:hint="eastAsia"/>
              </w:rPr>
            </w:pPr>
            <w:r w:rsidRPr="00B9704C">
              <w:rPr>
                <w:rFonts w:hAnsi="標楷體" w:hint="eastAsia"/>
              </w:rPr>
              <w:t>1.作業時間：</w:t>
            </w:r>
            <w:r w:rsidRPr="00B9704C">
              <w:rPr>
                <w:rFonts w:hAnsi="標楷體" w:hint="eastAsia"/>
                <w:szCs w:val="24"/>
              </w:rPr>
              <w:t>每日早上7：40 AM － 12：00 AM</w:t>
            </w:r>
            <w:r w:rsidRPr="00B9704C">
              <w:rPr>
                <w:rFonts w:hAnsi="標楷體" w:hint="eastAsia"/>
              </w:rPr>
              <w:t>。</w:t>
            </w:r>
          </w:p>
          <w:p w14:paraId="0AAB2D0C" w14:textId="77777777" w:rsidR="008B21FF" w:rsidRPr="00B9704C" w:rsidRDefault="008B21FF" w:rsidP="00E077C6">
            <w:pPr>
              <w:adjustRightInd w:val="0"/>
              <w:snapToGrid/>
              <w:spacing w:line="360" w:lineRule="atLeast"/>
              <w:ind w:firstLineChars="200" w:firstLine="560"/>
              <w:jc w:val="left"/>
              <w:textAlignment w:val="baseline"/>
              <w:rPr>
                <w:rFonts w:hAnsi="標楷體" w:hint="eastAsia"/>
              </w:rPr>
            </w:pPr>
            <w:r w:rsidRPr="00B9704C">
              <w:rPr>
                <w:rFonts w:hAnsi="標楷體" w:hint="eastAsia"/>
              </w:rPr>
              <w:t>2.傳檔方式：所每日早上主動傳送，證券商亦可自行要求。</w:t>
            </w:r>
          </w:p>
          <w:p w14:paraId="63EBEE6A" w14:textId="77777777" w:rsidR="008B21FF" w:rsidRDefault="008B21FF" w:rsidP="00E077C6">
            <w:pPr>
              <w:adjustRightInd w:val="0"/>
              <w:snapToGrid/>
              <w:spacing w:line="360" w:lineRule="atLeast"/>
              <w:ind w:firstLineChars="200" w:firstLine="560"/>
              <w:jc w:val="left"/>
              <w:textAlignment w:val="baseline"/>
              <w:rPr>
                <w:rFonts w:hAnsi="標楷體"/>
              </w:rPr>
            </w:pPr>
            <w:r w:rsidRPr="00B9704C">
              <w:rPr>
                <w:rFonts w:hAnsi="標楷體" w:hint="eastAsia"/>
              </w:rPr>
              <w:t>3.此作業</w:t>
            </w:r>
            <w:r w:rsidRPr="00B9704C">
              <w:rPr>
                <w:rFonts w:hint="eastAsia"/>
              </w:rPr>
              <w:t>為</w:t>
            </w:r>
            <w:r w:rsidRPr="00B9704C">
              <w:rPr>
                <w:rFonts w:hint="eastAsia"/>
                <w:bdr w:val="single" w:sz="4" w:space="0" w:color="auto"/>
              </w:rPr>
              <w:t>證券商辦理</w:t>
            </w:r>
            <w:r w:rsidRPr="00B9704C">
              <w:rPr>
                <w:rFonts w:hAnsi="標楷體" w:hint="eastAsia"/>
                <w:szCs w:val="28"/>
                <w:bdr w:val="single" w:sz="4" w:space="0" w:color="auto"/>
              </w:rPr>
              <w:t>不限用途款項借貸</w:t>
            </w:r>
            <w:r w:rsidRPr="00B9704C">
              <w:rPr>
                <w:rFonts w:hint="eastAsia"/>
                <w:b/>
                <w:bCs/>
                <w:bdr w:val="single" w:sz="4" w:space="0" w:color="auto"/>
                <w:shd w:val="pct15" w:color="auto" w:fill="FFFFFF"/>
              </w:rPr>
              <w:t>總分公司</w:t>
            </w:r>
            <w:r w:rsidRPr="00B9704C">
              <w:rPr>
                <w:rFonts w:hAnsi="標楷體" w:hint="eastAsia"/>
                <w:szCs w:val="28"/>
              </w:rPr>
              <w:t>使用</w:t>
            </w:r>
            <w:r w:rsidRPr="00B9704C">
              <w:rPr>
                <w:rFonts w:hAnsi="標楷體" w:hint="eastAsia"/>
              </w:rPr>
              <w:t>。</w:t>
            </w:r>
          </w:p>
          <w:p w14:paraId="6D26362A" w14:textId="77777777" w:rsidR="008B21FF" w:rsidRDefault="008B21FF" w:rsidP="00E077C6">
            <w:pPr>
              <w:spacing w:line="400" w:lineRule="exact"/>
              <w:ind w:leftChars="200" w:left="840" w:hangingChars="100" w:hanging="280"/>
              <w:rPr>
                <w:b/>
                <w:color w:val="FF0000"/>
              </w:rPr>
            </w:pPr>
            <w:r w:rsidRPr="00253B73">
              <w:rPr>
                <w:rFonts w:hAnsi="標楷體"/>
                <w:b/>
                <w:color w:val="FF0000"/>
              </w:rPr>
              <w:t>4.</w:t>
            </w:r>
            <w:r w:rsidRPr="00253B73">
              <w:rPr>
                <w:rFonts w:hint="eastAsia"/>
                <w:b/>
                <w:color w:val="FF0000"/>
              </w:rPr>
              <w:t>得為</w:t>
            </w:r>
            <w:r>
              <w:rPr>
                <w:rFonts w:hint="eastAsia"/>
                <w:b/>
                <w:color w:val="FF0000"/>
              </w:rPr>
              <w:t>融資融券</w:t>
            </w:r>
            <w:r w:rsidRPr="00253B73">
              <w:rPr>
                <w:rFonts w:hint="eastAsia"/>
                <w:b/>
                <w:color w:val="FF0000"/>
              </w:rPr>
              <w:t>之上櫃有價證券處於停止買賣</w:t>
            </w:r>
            <w:proofErr w:type="gramStart"/>
            <w:r w:rsidRPr="00253B73">
              <w:rPr>
                <w:rFonts w:hint="eastAsia"/>
                <w:b/>
                <w:color w:val="FF0000"/>
              </w:rPr>
              <w:t>期間，</w:t>
            </w:r>
            <w:proofErr w:type="gramEnd"/>
            <w:r w:rsidRPr="00253B73">
              <w:rPr>
                <w:rFonts w:hint="eastAsia"/>
                <w:b/>
                <w:color w:val="FF0000"/>
              </w:rPr>
              <w:t>本檔案仍揭露該證券分配資訊，並</w:t>
            </w:r>
            <w:r>
              <w:rPr>
                <w:rFonts w:hint="eastAsia"/>
                <w:b/>
                <w:color w:val="FF0000"/>
              </w:rPr>
              <w:t>於AN</w:t>
            </w:r>
            <w:r>
              <w:rPr>
                <w:b/>
                <w:color w:val="FF0000"/>
              </w:rPr>
              <w:t>Y</w:t>
            </w:r>
            <w:r>
              <w:rPr>
                <w:rFonts w:hint="eastAsia"/>
                <w:b/>
                <w:color w:val="FF0000"/>
              </w:rPr>
              <w:t>-SUSPEND欄位標示</w:t>
            </w:r>
            <w:r w:rsidRPr="00253B73">
              <w:rPr>
                <w:rFonts w:hint="eastAsia"/>
                <w:b/>
                <w:color w:val="FF0000"/>
              </w:rPr>
              <w:t>「</w:t>
            </w:r>
            <w:r>
              <w:rPr>
                <w:b/>
                <w:color w:val="FF0000"/>
              </w:rPr>
              <w:t>!</w:t>
            </w:r>
            <w:r w:rsidRPr="00253B73">
              <w:rPr>
                <w:rFonts w:hint="eastAsia"/>
                <w:b/>
                <w:color w:val="FF0000"/>
              </w:rPr>
              <w:t>」。</w:t>
            </w:r>
          </w:p>
          <w:p w14:paraId="6DF8EB68" w14:textId="77777777" w:rsidR="008B21FF" w:rsidRDefault="008B21FF" w:rsidP="00E077C6">
            <w:pPr>
              <w:spacing w:line="400" w:lineRule="exact"/>
              <w:ind w:leftChars="200" w:left="840" w:hangingChars="100" w:hanging="280"/>
              <w:rPr>
                <w:rFonts w:hAnsi="標楷體"/>
                <w:b/>
                <w:color w:val="FF0000"/>
              </w:rPr>
            </w:pPr>
            <w:r>
              <w:rPr>
                <w:rFonts w:hAnsi="標楷體"/>
                <w:b/>
                <w:color w:val="FF0000"/>
              </w:rPr>
              <w:t>5.</w:t>
            </w:r>
            <w:r w:rsidRPr="00C33B21">
              <w:rPr>
                <w:rFonts w:hAnsi="標楷體" w:hint="eastAsia"/>
                <w:b/>
                <w:color w:val="FF0000"/>
              </w:rPr>
              <w:t>本檔案依照證券商每日申報之餘額進行分配計算，停止買賣恢復交易日早上之公告資訊，仍以證券商於該證券恢復交易前一日申報之餘額與前一日之上</w:t>
            </w:r>
            <w:r w:rsidR="0028464D">
              <w:rPr>
                <w:rFonts w:hAnsi="標楷體" w:hint="eastAsia"/>
                <w:b/>
                <w:color w:val="FF0000"/>
              </w:rPr>
              <w:t>櫃</w:t>
            </w:r>
            <w:r w:rsidRPr="00C33B21">
              <w:rPr>
                <w:rFonts w:hAnsi="標楷體" w:hint="eastAsia"/>
                <w:b/>
                <w:color w:val="FF0000"/>
              </w:rPr>
              <w:t>股數計算分配資訊。</w:t>
            </w:r>
          </w:p>
          <w:p w14:paraId="016BE241" w14:textId="77777777" w:rsidR="008B21FF" w:rsidRPr="00253B73" w:rsidRDefault="008B21FF" w:rsidP="00E077C6">
            <w:pPr>
              <w:spacing w:line="400" w:lineRule="exact"/>
              <w:ind w:leftChars="200" w:left="840" w:hangingChars="100" w:hanging="280"/>
              <w:rPr>
                <w:rFonts w:hint="eastAsia"/>
                <w:b/>
                <w:color w:val="FF0000"/>
              </w:rPr>
            </w:pPr>
            <w:r>
              <w:rPr>
                <w:rFonts w:hAnsi="標楷體" w:hint="eastAsia"/>
                <w:b/>
                <w:color w:val="FF0000"/>
              </w:rPr>
              <w:t>6.</w:t>
            </w:r>
            <w:r w:rsidRPr="00A0715A">
              <w:rPr>
                <w:rFonts w:hAnsi="標楷體" w:hint="eastAsia"/>
                <w:b/>
                <w:color w:val="FF0000"/>
              </w:rPr>
              <w:t>停止買賣原因為減資者，如有價證券於減資停止買賣期間有全體市場餘額達上</w:t>
            </w:r>
            <w:r w:rsidR="0028464D">
              <w:rPr>
                <w:rFonts w:hAnsi="標楷體" w:hint="eastAsia"/>
                <w:b/>
                <w:color w:val="FF0000"/>
              </w:rPr>
              <w:t>櫃</w:t>
            </w:r>
            <w:r w:rsidRPr="00A0715A">
              <w:rPr>
                <w:rFonts w:hAnsi="標楷體" w:hint="eastAsia"/>
                <w:b/>
                <w:color w:val="FF0000"/>
              </w:rPr>
              <w:t>單位數20％之額度分配情形時，於恢復買賣日之前一日，各授信機構所接收之分配張數係依發行公司「減資前」之發行單位數計算，請自行依減資換股比率折減分配張數，以避免恢復買賣日之使用額度違規超限。</w:t>
            </w:r>
          </w:p>
          <w:p w14:paraId="22D399A1" w14:textId="77777777" w:rsidR="008B21FF" w:rsidRPr="00B9704C" w:rsidRDefault="008B21FF" w:rsidP="00E077C6">
            <w:pPr>
              <w:adjustRightInd w:val="0"/>
              <w:snapToGrid/>
              <w:spacing w:line="360" w:lineRule="atLeast"/>
              <w:jc w:val="left"/>
              <w:textAlignment w:val="baseline"/>
              <w:rPr>
                <w:rFonts w:hint="eastAsia"/>
              </w:rPr>
            </w:pPr>
            <w:r w:rsidRPr="00B9704C">
              <w:rPr>
                <w:rFonts w:hAnsi="標楷體" w:hint="eastAsia"/>
              </w:rPr>
              <w:t xml:space="preserve">    </w:t>
            </w:r>
            <w:r w:rsidRPr="007315AC">
              <w:rPr>
                <w:rFonts w:hAnsi="標楷體"/>
                <w:b/>
                <w:color w:val="FF0000"/>
              </w:rPr>
              <w:t>7</w:t>
            </w:r>
            <w:r w:rsidRPr="007315AC">
              <w:rPr>
                <w:rFonts w:hAnsi="標楷體" w:hint="eastAsia"/>
                <w:b/>
                <w:color w:val="FF0000"/>
              </w:rPr>
              <w:t>.</w:t>
            </w:r>
            <w:r w:rsidRPr="00B9704C">
              <w:rPr>
                <w:rFonts w:hAnsi="標楷體" w:hint="eastAsia"/>
              </w:rPr>
              <w:t>說明: 每一數量為一股票交易單位。</w:t>
            </w:r>
          </w:p>
          <w:p w14:paraId="2AB969F1" w14:textId="77777777" w:rsidR="008B21FF" w:rsidRPr="00B9704C" w:rsidRDefault="008B21FF" w:rsidP="00E077C6">
            <w:pPr>
              <w:spacing w:line="240" w:lineRule="auto"/>
              <w:ind w:firstLineChars="250" w:firstLine="700"/>
              <w:rPr>
                <w:rFonts w:hint="eastAsia"/>
              </w:rPr>
            </w:pPr>
          </w:p>
        </w:tc>
      </w:tr>
    </w:tbl>
    <w:p w14:paraId="027BEE8A" w14:textId="77777777" w:rsidR="00DA1A2A" w:rsidRPr="008B21FF" w:rsidRDefault="00DA1A2A"/>
    <w:sectPr w:rsidR="00DA1A2A" w:rsidRPr="008B21F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revisionView w:inkAnnotation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1FF"/>
    <w:rsid w:val="0010593E"/>
    <w:rsid w:val="0028464D"/>
    <w:rsid w:val="008B21FF"/>
    <w:rsid w:val="00DA1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9156A"/>
  <w15:chartTrackingRefBased/>
  <w15:docId w15:val="{D4D8C391-D3EF-4669-AB90-A686AC168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21FF"/>
    <w:pPr>
      <w:widowControl w:val="0"/>
      <w:snapToGrid w:val="0"/>
      <w:spacing w:line="460" w:lineRule="atLeast"/>
      <w:jc w:val="both"/>
    </w:pPr>
    <w:rPr>
      <w:rFonts w:ascii="標楷體" w:eastAsia="標楷體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標題4"/>
    <w:basedOn w:val="a"/>
    <w:rsid w:val="008B21FF"/>
    <w:pPr>
      <w:ind w:left="1758" w:hanging="227"/>
    </w:pPr>
  </w:style>
  <w:style w:type="paragraph" w:styleId="1">
    <w:name w:val="toc 1"/>
    <w:basedOn w:val="a"/>
    <w:next w:val="a"/>
    <w:autoRedefine/>
    <w:semiHidden/>
    <w:rsid w:val="008B21FF"/>
    <w:pPr>
      <w:adjustRightInd w:val="0"/>
      <w:snapToGrid/>
      <w:spacing w:line="300" w:lineRule="exact"/>
      <w:ind w:firstLineChars="237" w:firstLine="664"/>
      <w:jc w:val="left"/>
      <w:textAlignment w:val="baseline"/>
    </w:pPr>
    <w:rPr>
      <w:rFonts w:hAnsi="標楷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鄭明哲</dc:creator>
  <cp:keywords/>
  <dc:description/>
  <cp:lastModifiedBy>鄭明哲</cp:lastModifiedBy>
  <cp:revision>2</cp:revision>
  <dcterms:created xsi:type="dcterms:W3CDTF">2019-12-06T03:08:00Z</dcterms:created>
  <dcterms:modified xsi:type="dcterms:W3CDTF">2019-12-06T03:08:00Z</dcterms:modified>
</cp:coreProperties>
</file>