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66" w:rsidRPr="00042F6C" w:rsidRDefault="00750B66" w:rsidP="009C44ED">
      <w:pPr>
        <w:pStyle w:val="13"/>
        <w:ind w:left="1"/>
        <w:jc w:val="both"/>
        <w:rPr>
          <w:lang w:eastAsia="zh-TW"/>
        </w:rPr>
      </w:pPr>
      <w:bookmarkStart w:id="0" w:name="_Toc521333969"/>
      <w:bookmarkStart w:id="1" w:name="_GoBack"/>
      <w:bookmarkEnd w:id="1"/>
      <w:r w:rsidRPr="00750B66">
        <w:rPr>
          <w:rFonts w:hint="eastAsia"/>
          <w:lang w:eastAsia="zh-TW"/>
        </w:rPr>
        <w:t>證券商辦理有價證券買賣融資融券業務操作辦法第十條</w:t>
      </w:r>
      <w:r w:rsidR="00437DE5">
        <w:rPr>
          <w:rFonts w:hint="eastAsia"/>
          <w:lang w:eastAsia="zh-TW"/>
        </w:rPr>
        <w:t>、第十三條</w:t>
      </w:r>
      <w:r w:rsidRPr="00750B66">
        <w:rPr>
          <w:rFonts w:hint="eastAsia"/>
          <w:lang w:eastAsia="zh-TW"/>
        </w:rPr>
        <w:t>及第二十二條修正條文對照表</w:t>
      </w:r>
      <w:bookmarkEnd w:id="0"/>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3548"/>
        <w:gridCol w:w="3047"/>
      </w:tblGrid>
      <w:tr w:rsidR="00750B66" w:rsidRPr="00B95158" w:rsidTr="00EE34D4">
        <w:trPr>
          <w:tblHeader/>
          <w:jc w:val="center"/>
        </w:trPr>
        <w:tc>
          <w:tcPr>
            <w:tcW w:w="3547"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修正條文</w:t>
            </w:r>
          </w:p>
        </w:tc>
        <w:tc>
          <w:tcPr>
            <w:tcW w:w="3548"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現行條文</w:t>
            </w:r>
          </w:p>
        </w:tc>
        <w:tc>
          <w:tcPr>
            <w:tcW w:w="3047"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說明</w:t>
            </w:r>
          </w:p>
        </w:tc>
      </w:tr>
      <w:tr w:rsidR="00981035" w:rsidRPr="00B95158" w:rsidTr="00EE34D4">
        <w:trPr>
          <w:jc w:val="center"/>
        </w:trPr>
        <w:tc>
          <w:tcPr>
            <w:tcW w:w="3547"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第十條　上市滿六個月且非外幣買賣之受益憑證，無受益權過度集中或第八條第一項第三款第一、三目情事之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者，證券交易所即公告該受益憑證得為融資融券交易。</w:t>
            </w:r>
          </w:p>
          <w:p w:rsidR="00981035" w:rsidRDefault="00981035" w:rsidP="003D342E">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指數股票型證券投資信託基金受益憑證（以下簡稱指數股票型基金受益憑證）</w:t>
            </w:r>
            <w:r w:rsidR="003D342E">
              <w:rPr>
                <w:rFonts w:ascii="標楷體" w:eastAsia="標楷體" w:hAnsi="標楷體" w:cs="細明體" w:hint="eastAsia"/>
                <w:color w:val="FF0000"/>
                <w:kern w:val="0"/>
                <w:szCs w:val="24"/>
                <w:u w:val="single"/>
              </w:rPr>
              <w:t>及指數股票型期貨信託基金受益憑證</w:t>
            </w:r>
            <w:r>
              <w:rPr>
                <w:rFonts w:ascii="標楷體" w:eastAsia="標楷體" w:hAnsi="標楷體" w:cs="細明體" w:hint="eastAsia"/>
                <w:kern w:val="0"/>
                <w:szCs w:val="24"/>
              </w:rPr>
              <w:t>由證券交易所或櫃檯買賣中心公告自上市或櫃檯買賣開始日起得為融資融券交易；境外指數股票型基金受益憑證，由證券交易所公告自上市開始日起得為融資融券交易。</w:t>
            </w:r>
          </w:p>
        </w:tc>
        <w:tc>
          <w:tcPr>
            <w:tcW w:w="3548"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第十條　上市滿六個月且非外幣買賣之受益憑證，無受益權過度集中或第八條第一項第三款第一、三目情事之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者，證券交易所即公告該受益憑證得為融資融券交易。</w:t>
            </w:r>
          </w:p>
          <w:p w:rsidR="00981035" w:rsidRDefault="00981035" w:rsidP="0098103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指數股票型證券投資信託基金受益憑證（以下簡稱指數股票型基金受益憑證）由證券交易所或櫃檯買賣中心公告自上市或櫃檯買賣開始日起得為融資融券交易；境外指數股票型基金受益憑證</w:t>
            </w:r>
            <w:r>
              <w:rPr>
                <w:rFonts w:ascii="標楷體" w:eastAsia="標楷體" w:hAnsi="標楷體" w:cs="細明體" w:hint="eastAsia"/>
                <w:color w:val="FF0000"/>
                <w:kern w:val="0"/>
                <w:szCs w:val="24"/>
                <w:u w:val="single"/>
              </w:rPr>
              <w:t>及指數股票型期貨信託基金受益憑證</w:t>
            </w:r>
            <w:r>
              <w:rPr>
                <w:rFonts w:ascii="標楷體" w:eastAsia="標楷體" w:hAnsi="標楷體" w:cs="細明體" w:hint="eastAsia"/>
                <w:kern w:val="0"/>
                <w:szCs w:val="24"/>
              </w:rPr>
              <w:t>，由證券交易所公告自上市開始日起得為融資融券交易。</w:t>
            </w:r>
          </w:p>
        </w:tc>
        <w:tc>
          <w:tcPr>
            <w:tcW w:w="3047" w:type="dxa"/>
          </w:tcPr>
          <w:p w:rsidR="00981035" w:rsidRDefault="00981035" w:rsidP="00531159">
            <w:pPr>
              <w:tabs>
                <w:tab w:val="left" w:pos="497"/>
              </w:tabs>
              <w:jc w:val="both"/>
              <w:rPr>
                <w:rFonts w:eastAsia="標楷體"/>
                <w:color w:val="000000"/>
              </w:rPr>
            </w:pPr>
            <w:r>
              <w:rPr>
                <w:rFonts w:eastAsia="標楷體" w:hint="eastAsia"/>
                <w:color w:val="000000"/>
              </w:rPr>
              <w:t>配合開放指數股票型期貨信託基金受益憑證上櫃交易，</w:t>
            </w:r>
            <w:proofErr w:type="gramStart"/>
            <w:r>
              <w:rPr>
                <w:rFonts w:eastAsia="標楷體" w:hint="eastAsia"/>
                <w:color w:val="000000"/>
              </w:rPr>
              <w:t>爰</w:t>
            </w:r>
            <w:proofErr w:type="gramEnd"/>
            <w:r>
              <w:rPr>
                <w:rFonts w:eastAsia="標楷體" w:hint="eastAsia"/>
                <w:color w:val="000000"/>
              </w:rPr>
              <w:t>修正第</w:t>
            </w:r>
            <w:r w:rsidR="002653EB">
              <w:rPr>
                <w:rFonts w:eastAsia="標楷體" w:hint="eastAsia"/>
                <w:color w:val="000000"/>
              </w:rPr>
              <w:t>2</w:t>
            </w:r>
            <w:r>
              <w:rPr>
                <w:rFonts w:eastAsia="標楷體" w:hint="eastAsia"/>
                <w:color w:val="000000"/>
              </w:rPr>
              <w:t>項規定。</w:t>
            </w:r>
          </w:p>
        </w:tc>
      </w:tr>
      <w:tr w:rsidR="00437DE5" w:rsidRPr="00B95158" w:rsidTr="00EE34D4">
        <w:trPr>
          <w:jc w:val="center"/>
        </w:trPr>
        <w:tc>
          <w:tcPr>
            <w:tcW w:w="3547" w:type="dxa"/>
          </w:tcPr>
          <w:p w:rsidR="00437DE5" w:rsidRDefault="00437DE5" w:rsidP="00437DE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第十三條　</w:t>
            </w:r>
            <w:r w:rsidRPr="0016308A">
              <w:rPr>
                <w:rFonts w:ascii="標楷體" w:eastAsia="標楷體" w:hAnsi="標楷體" w:cs="細明體" w:hint="eastAsia"/>
                <w:kern w:val="0"/>
                <w:szCs w:val="24"/>
              </w:rPr>
              <w:t>第八條第一項第三款第一、三目所定價格波動過度劇烈及成交量過度異常情事之上市有價證券</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樣範圍，以非屬變更交易方法之上市普通股股票、臺灣存託憑證及受益憑證為</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樣證券，作為審核上市有價證券比較之基準；上櫃有價證券之</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樣範圍，以非屬櫃檯買賣管理股票、</w:t>
            </w:r>
            <w:proofErr w:type="gramStart"/>
            <w:r w:rsidRPr="0016308A">
              <w:rPr>
                <w:rFonts w:ascii="標楷體" w:eastAsia="標楷體" w:hAnsi="標楷體" w:cs="細明體" w:hint="eastAsia"/>
                <w:kern w:val="0"/>
                <w:szCs w:val="24"/>
              </w:rPr>
              <w:t>興櫃股票</w:t>
            </w:r>
            <w:proofErr w:type="gramEnd"/>
            <w:r w:rsidRPr="0016308A">
              <w:rPr>
                <w:rFonts w:ascii="標楷體" w:eastAsia="標楷體" w:hAnsi="標楷體" w:cs="細明體" w:hint="eastAsia"/>
                <w:kern w:val="0"/>
                <w:szCs w:val="24"/>
              </w:rPr>
              <w:t>之上櫃普通股股票</w:t>
            </w:r>
            <w:r w:rsidRPr="0016308A">
              <w:rPr>
                <w:rFonts w:ascii="標楷體" w:eastAsia="標楷體" w:hAnsi="標楷體" w:cs="細明體" w:hint="eastAsia"/>
                <w:color w:val="FF0000"/>
                <w:kern w:val="0"/>
                <w:szCs w:val="24"/>
                <w:u w:val="single"/>
              </w:rPr>
              <w:t>、</w:t>
            </w:r>
            <w:r w:rsidRPr="0016308A">
              <w:rPr>
                <w:rFonts w:ascii="標楷體" w:eastAsia="標楷體" w:hAnsi="標楷體" w:cs="細明體" w:hint="eastAsia"/>
                <w:kern w:val="0"/>
                <w:szCs w:val="24"/>
              </w:rPr>
              <w:t>指數股票型基金受益憑證</w:t>
            </w:r>
            <w:r>
              <w:rPr>
                <w:rFonts w:ascii="標楷體" w:eastAsia="標楷體" w:hAnsi="標楷體" w:cs="細明體" w:hint="eastAsia"/>
                <w:color w:val="FF0000"/>
                <w:kern w:val="0"/>
                <w:szCs w:val="24"/>
                <w:u w:val="single"/>
              </w:rPr>
              <w:t>及指數股票型期貨信託基金受益憑證</w:t>
            </w:r>
            <w:r w:rsidRPr="0016308A">
              <w:rPr>
                <w:rFonts w:ascii="標楷體" w:eastAsia="標楷體" w:hAnsi="標楷體" w:cs="細明體" w:hint="eastAsia"/>
                <w:kern w:val="0"/>
                <w:szCs w:val="24"/>
              </w:rPr>
              <w:t>為</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樣證券，作為審核上櫃有價證券比較之基準。</w:t>
            </w:r>
          </w:p>
        </w:tc>
        <w:tc>
          <w:tcPr>
            <w:tcW w:w="3548" w:type="dxa"/>
          </w:tcPr>
          <w:p w:rsidR="00437DE5" w:rsidRDefault="00437DE5" w:rsidP="00437DE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第十三條　</w:t>
            </w:r>
            <w:r w:rsidRPr="0016308A">
              <w:rPr>
                <w:rFonts w:ascii="標楷體" w:eastAsia="標楷體" w:hAnsi="標楷體" w:cs="細明體" w:hint="eastAsia"/>
                <w:kern w:val="0"/>
                <w:szCs w:val="24"/>
              </w:rPr>
              <w:t>第八條第一項第三款第一、三目所定價格波動過度劇烈及成交量過度異常情事之上市有價證券</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樣範圍，以非屬變更交易方法之上市普通股股票、臺灣存託憑證及受益憑證為</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樣證券，作為審核上市有價證券比較之基準；上櫃有價證券之</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樣範圍，以非屬櫃檯買賣管理股票、</w:t>
            </w:r>
            <w:proofErr w:type="gramStart"/>
            <w:r w:rsidRPr="0016308A">
              <w:rPr>
                <w:rFonts w:ascii="標楷體" w:eastAsia="標楷體" w:hAnsi="標楷體" w:cs="細明體" w:hint="eastAsia"/>
                <w:kern w:val="0"/>
                <w:szCs w:val="24"/>
              </w:rPr>
              <w:t>興櫃股票</w:t>
            </w:r>
            <w:proofErr w:type="gramEnd"/>
            <w:r w:rsidRPr="0016308A">
              <w:rPr>
                <w:rFonts w:ascii="標楷體" w:eastAsia="標楷體" w:hAnsi="標楷體" w:cs="細明體" w:hint="eastAsia"/>
                <w:kern w:val="0"/>
                <w:szCs w:val="24"/>
              </w:rPr>
              <w:t>之上櫃普通股股票及指數股票型基金受益憑證為</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樣證券，作為審核上櫃有價證券比較之基準。</w:t>
            </w:r>
          </w:p>
        </w:tc>
        <w:tc>
          <w:tcPr>
            <w:tcW w:w="3047" w:type="dxa"/>
          </w:tcPr>
          <w:p w:rsidR="00437DE5" w:rsidRDefault="00437DE5" w:rsidP="00437DE5">
            <w:pPr>
              <w:tabs>
                <w:tab w:val="left" w:pos="497"/>
              </w:tabs>
              <w:jc w:val="both"/>
              <w:rPr>
                <w:rFonts w:eastAsia="標楷體"/>
                <w:color w:val="000000"/>
              </w:rPr>
            </w:pPr>
            <w:r>
              <w:rPr>
                <w:rFonts w:eastAsia="標楷體" w:hint="eastAsia"/>
                <w:color w:val="000000"/>
              </w:rPr>
              <w:t>配合開放指數股票型期貨信託基金受益憑證上櫃交易，</w:t>
            </w:r>
            <w:proofErr w:type="gramStart"/>
            <w:r>
              <w:rPr>
                <w:rFonts w:eastAsia="標楷體" w:hint="eastAsia"/>
                <w:color w:val="000000"/>
              </w:rPr>
              <w:t>爰</w:t>
            </w:r>
            <w:proofErr w:type="gramEnd"/>
            <w:r>
              <w:rPr>
                <w:rFonts w:eastAsia="標楷體" w:hint="eastAsia"/>
                <w:color w:val="000000"/>
              </w:rPr>
              <w:t>修正本條後段有關上櫃</w:t>
            </w:r>
            <w:r w:rsidRPr="0016308A">
              <w:rPr>
                <w:rFonts w:ascii="標楷體" w:eastAsia="標楷體" w:hAnsi="標楷體" w:cs="細明體" w:hint="eastAsia"/>
                <w:kern w:val="0"/>
                <w:szCs w:val="24"/>
              </w:rPr>
              <w:t>有價證券</w:t>
            </w:r>
            <w:proofErr w:type="gramStart"/>
            <w:r w:rsidRPr="0016308A">
              <w:rPr>
                <w:rFonts w:ascii="標楷體" w:eastAsia="標楷體" w:hAnsi="標楷體" w:cs="細明體" w:hint="eastAsia"/>
                <w:kern w:val="0"/>
                <w:szCs w:val="24"/>
              </w:rPr>
              <w:t>採</w:t>
            </w:r>
            <w:proofErr w:type="gramEnd"/>
            <w:r w:rsidRPr="0016308A">
              <w:rPr>
                <w:rFonts w:ascii="標楷體" w:eastAsia="標楷體" w:hAnsi="標楷體" w:cs="細明體" w:hint="eastAsia"/>
                <w:kern w:val="0"/>
                <w:szCs w:val="24"/>
              </w:rPr>
              <w:t>樣範圍之</w:t>
            </w:r>
            <w:r w:rsidRPr="0019715A">
              <w:rPr>
                <w:rFonts w:eastAsia="標楷體" w:hint="eastAsia"/>
              </w:rPr>
              <w:t>規</w:t>
            </w:r>
            <w:r>
              <w:rPr>
                <w:rFonts w:eastAsia="標楷體" w:hint="eastAsia"/>
                <w:color w:val="000000"/>
              </w:rPr>
              <w:t>定。</w:t>
            </w:r>
          </w:p>
        </w:tc>
      </w:tr>
      <w:tr w:rsidR="00981035" w:rsidRPr="00B95158" w:rsidTr="00EE34D4">
        <w:trPr>
          <w:jc w:val="center"/>
        </w:trPr>
        <w:tc>
          <w:tcPr>
            <w:tcW w:w="3547"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第二十二條　得為融資融券交易之上市（櫃）有價證券，有有價證券得為融資融券標準第四條第一項第一至七款、第十一款及第五條第一項第一至三款、第七款規定所列之情</w:t>
            </w:r>
            <w:r>
              <w:rPr>
                <w:rFonts w:ascii="標楷體" w:eastAsia="標楷體" w:hAnsi="標楷體" w:cs="細明體" w:hint="eastAsia"/>
                <w:kern w:val="0"/>
                <w:szCs w:val="24"/>
              </w:rPr>
              <w:lastRenderedPageBreak/>
              <w:t>事者，除下列第一款上市（櫃）股票、臺灣存託憑證變更交易方法或停止買賣或第八款經證券交易所或櫃檯買賣中心監視業務督導會報決議暫停者外，證券交易所或櫃檯買賣中心即自公告日之次一營業日起暫停融資融券交易：</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hint="eastAsia"/>
                <w:kern w:val="0"/>
                <w:szCs w:val="24"/>
              </w:rPr>
              <w:tab/>
              <w:t>上市（櫃）股票、臺灣存託憑證變更交易方法或停止買賣或終止上市（櫃），或受益憑證終止上市（櫃）者，證券交易所或櫃檯買賣中心公告股票、臺灣存託憑證變更交易方法或停止買賣時，</w:t>
            </w:r>
            <w:proofErr w:type="gramStart"/>
            <w:r>
              <w:rPr>
                <w:rFonts w:ascii="標楷體" w:eastAsia="標楷體" w:hAnsi="標楷體" w:cs="細明體" w:hint="eastAsia"/>
                <w:kern w:val="0"/>
                <w:szCs w:val="24"/>
              </w:rPr>
              <w:t>併</w:t>
            </w:r>
            <w:proofErr w:type="gramEnd"/>
            <w:r>
              <w:rPr>
                <w:rFonts w:ascii="標楷體" w:eastAsia="標楷體" w:hAnsi="標楷體" w:cs="細明體" w:hint="eastAsia"/>
                <w:kern w:val="0"/>
                <w:szCs w:val="24"/>
              </w:rPr>
              <w:t>同公告自事由生效日起，暫停該有價證券融資融券交易；證券交易所或櫃檯買賣中心公告股票、臺灣存託憑證及受益憑證終止上市（櫃）時，</w:t>
            </w:r>
            <w:proofErr w:type="gramStart"/>
            <w:r>
              <w:rPr>
                <w:rFonts w:ascii="標楷體" w:eastAsia="標楷體" w:hAnsi="標楷體" w:cs="細明體" w:hint="eastAsia"/>
                <w:kern w:val="0"/>
                <w:szCs w:val="24"/>
              </w:rPr>
              <w:t>併</w:t>
            </w:r>
            <w:proofErr w:type="gramEnd"/>
            <w:r>
              <w:rPr>
                <w:rFonts w:ascii="標楷體" w:eastAsia="標楷體" w:hAnsi="標楷體" w:cs="細明體" w:hint="eastAsia"/>
                <w:kern w:val="0"/>
                <w:szCs w:val="24"/>
              </w:rPr>
              <w:t>同公告暫停該有價證券融資融券交易。但有第七十八條但書情事之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者或因發行公司減資或其他原因致新舊股票權利義務不同換發股票而停止買賣者，不在此限。</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hint="eastAsia"/>
                <w:kern w:val="0"/>
                <w:szCs w:val="24"/>
              </w:rPr>
              <w:tab/>
              <w:t>證券投資信託事業未依規定按期申報並公告證券投資信託基金財務報告，或經理證券投資信託基金之證券投資信託事業有證券投資信託及顧問法第九十六條第一項之情事者，證券交易所或櫃檯買賣中心即公告暫停該受益憑證融資融券交易。</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三、</w:t>
            </w:r>
            <w:r>
              <w:rPr>
                <w:rFonts w:ascii="標楷體" w:eastAsia="標楷體" w:hAnsi="標楷體" w:cs="細明體" w:hint="eastAsia"/>
                <w:kern w:val="0"/>
                <w:szCs w:val="24"/>
              </w:rPr>
              <w:tab/>
              <w:t>期貨信託事業未依規定按期申報並公告期貨信託基金財務報告，或經理該指數股票型期貨信託基金之期貨信託事業有期貨信託事業管理規則第三十八條第一項之情事者，證券交易所</w:t>
            </w:r>
            <w:r>
              <w:rPr>
                <w:rFonts w:ascii="標楷體" w:eastAsia="標楷體" w:hAnsi="標楷體" w:cs="細明體" w:hint="eastAsia"/>
                <w:color w:val="FF0000"/>
                <w:kern w:val="0"/>
                <w:szCs w:val="24"/>
                <w:u w:val="single"/>
              </w:rPr>
              <w:t>或櫃檯買賣中心</w:t>
            </w:r>
            <w:r>
              <w:rPr>
                <w:rFonts w:ascii="標楷體" w:eastAsia="標楷體" w:hAnsi="標楷體" w:cs="細明體" w:hint="eastAsia"/>
                <w:kern w:val="0"/>
                <w:szCs w:val="24"/>
              </w:rPr>
              <w:t>即公告暫停該受益憑證融資融券交易。</w:t>
            </w:r>
          </w:p>
          <w:p w:rsidR="00981035" w:rsidRDefault="00981035" w:rsidP="00981035">
            <w:pPr>
              <w:spacing w:beforeLines="50" w:before="180" w:afterLines="50" w:after="180"/>
              <w:ind w:leftChars="100" w:left="720" w:hangingChars="200" w:hanging="480"/>
              <w:jc w:val="center"/>
              <w:rPr>
                <w:rFonts w:ascii="標楷體" w:eastAsia="標楷體" w:hAnsi="標楷體" w:cs="細明體"/>
                <w:kern w:val="0"/>
                <w:szCs w:val="24"/>
              </w:rPr>
            </w:pPr>
            <w:r>
              <w:rPr>
                <w:rFonts w:ascii="標楷體" w:eastAsia="標楷體" w:hAnsi="標楷體" w:cs="細明體" w:hint="eastAsia"/>
                <w:kern w:val="0"/>
                <w:szCs w:val="24"/>
              </w:rPr>
              <w:t>（</w:t>
            </w:r>
            <w:r w:rsidR="00531159">
              <w:rPr>
                <w:rFonts w:ascii="標楷體" w:eastAsia="標楷體" w:hAnsi="標楷體" w:cs="細明體" w:hint="eastAsia"/>
                <w:kern w:val="0"/>
                <w:szCs w:val="24"/>
              </w:rPr>
              <w:t>第四款至第八款</w:t>
            </w:r>
            <w:r>
              <w:rPr>
                <w:rFonts w:ascii="標楷體" w:eastAsia="標楷體" w:hAnsi="標楷體" w:cs="細明體" w:hint="eastAsia"/>
                <w:kern w:val="0"/>
                <w:szCs w:val="24"/>
              </w:rPr>
              <w:t>略）</w:t>
            </w:r>
          </w:p>
        </w:tc>
        <w:tc>
          <w:tcPr>
            <w:tcW w:w="3548"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第二十二條　得為融資融券交易之上市（櫃）有價證券，有有價證券得為融資融券標準第四條第一項第一至七款、第十一款及第五條第一項第一至三款、第七款規定所列之情</w:t>
            </w:r>
            <w:r>
              <w:rPr>
                <w:rFonts w:ascii="標楷體" w:eastAsia="標楷體" w:hAnsi="標楷體" w:cs="細明體" w:hint="eastAsia"/>
                <w:kern w:val="0"/>
                <w:szCs w:val="24"/>
              </w:rPr>
              <w:lastRenderedPageBreak/>
              <w:t>事者，除下列第一款上市（櫃）股票、臺灣存託憑證變更交易方法或停止買賣或第八款經證券交易所或櫃檯買賣中心監視業務督導會報決議暫停者外，證券交易所或櫃檯買賣中心即自公告日之次一營業日起暫停融資融券交易：</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hint="eastAsia"/>
                <w:kern w:val="0"/>
                <w:szCs w:val="24"/>
              </w:rPr>
              <w:tab/>
              <w:t>上市（櫃）股票、臺灣存託憑證變更交易方法或停止買賣或終止上市（櫃），或受益憑證終止上市（櫃）者，證券交易所或櫃檯買賣中心公告股票、臺灣存託憑證變更交易方法或停止買賣時，</w:t>
            </w:r>
            <w:proofErr w:type="gramStart"/>
            <w:r>
              <w:rPr>
                <w:rFonts w:ascii="標楷體" w:eastAsia="標楷體" w:hAnsi="標楷體" w:cs="細明體" w:hint="eastAsia"/>
                <w:kern w:val="0"/>
                <w:szCs w:val="24"/>
              </w:rPr>
              <w:t>併</w:t>
            </w:r>
            <w:proofErr w:type="gramEnd"/>
            <w:r>
              <w:rPr>
                <w:rFonts w:ascii="標楷體" w:eastAsia="標楷體" w:hAnsi="標楷體" w:cs="細明體" w:hint="eastAsia"/>
                <w:kern w:val="0"/>
                <w:szCs w:val="24"/>
              </w:rPr>
              <w:t>同公告自事由生效日起，暫停該有價證券融資融券交易；證券交易所或櫃檯買賣中心公告股票、臺灣存託憑證及受益憑證終止上市（櫃）時，</w:t>
            </w:r>
            <w:proofErr w:type="gramStart"/>
            <w:r>
              <w:rPr>
                <w:rFonts w:ascii="標楷體" w:eastAsia="標楷體" w:hAnsi="標楷體" w:cs="細明體" w:hint="eastAsia"/>
                <w:kern w:val="0"/>
                <w:szCs w:val="24"/>
              </w:rPr>
              <w:t>併</w:t>
            </w:r>
            <w:proofErr w:type="gramEnd"/>
            <w:r>
              <w:rPr>
                <w:rFonts w:ascii="標楷體" w:eastAsia="標楷體" w:hAnsi="標楷體" w:cs="細明體" w:hint="eastAsia"/>
                <w:kern w:val="0"/>
                <w:szCs w:val="24"/>
              </w:rPr>
              <w:t>同公告暫停該有價證券融資融券交易。但有第七十八條但書情事之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者或因發行公司減資或其他原因致新舊股票權利義務不同換發股票而停止買賣者，不在此限。</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hint="eastAsia"/>
                <w:kern w:val="0"/>
                <w:szCs w:val="24"/>
              </w:rPr>
              <w:tab/>
              <w:t>證券投資信託事業未依規定按期申報並公告證券投資信託基金財務報告，或經理證券投資信託基金之證券投資信託事業有證券投資信託及顧問法第九十六條第一項之情事者，證券交易所或櫃檯買賣中心即公告暫停該受益憑證融資融券交易。</w:t>
            </w:r>
          </w:p>
          <w:p w:rsidR="00981035" w:rsidRDefault="00981035" w:rsidP="00981035">
            <w:pPr>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三、</w:t>
            </w:r>
            <w:r>
              <w:rPr>
                <w:rFonts w:ascii="標楷體" w:eastAsia="標楷體" w:hAnsi="標楷體" w:cs="細明體" w:hint="eastAsia"/>
                <w:kern w:val="0"/>
                <w:szCs w:val="24"/>
              </w:rPr>
              <w:tab/>
              <w:t>期貨信託事業未依規定按期申報並公告期貨信託基金財務報告，或經理該指數股票型期貨信託基金之期貨信託事業有期貨信託事業管理規則第三十八條第一項之情事者，證券交易所即公告暫停該受益憑證融資融券交易。</w:t>
            </w:r>
          </w:p>
          <w:p w:rsidR="00981035" w:rsidRDefault="00981035" w:rsidP="00981035">
            <w:pPr>
              <w:spacing w:beforeLines="50" w:before="180" w:afterLines="50" w:after="180"/>
              <w:ind w:leftChars="100" w:left="720" w:hangingChars="200" w:hanging="480"/>
              <w:jc w:val="center"/>
              <w:rPr>
                <w:rFonts w:ascii="標楷體" w:eastAsia="標楷體" w:hAnsi="標楷體" w:cs="細明體"/>
                <w:kern w:val="0"/>
                <w:szCs w:val="24"/>
              </w:rPr>
            </w:pPr>
            <w:r>
              <w:rPr>
                <w:rFonts w:ascii="標楷體" w:eastAsia="標楷體" w:hAnsi="標楷體" w:cs="細明體" w:hint="eastAsia"/>
                <w:kern w:val="0"/>
                <w:szCs w:val="24"/>
              </w:rPr>
              <w:t>（</w:t>
            </w:r>
            <w:r w:rsidR="00531159">
              <w:rPr>
                <w:rFonts w:ascii="標楷體" w:eastAsia="標楷體" w:hAnsi="標楷體" w:cs="細明體" w:hint="eastAsia"/>
                <w:kern w:val="0"/>
                <w:szCs w:val="24"/>
              </w:rPr>
              <w:t>第四款至第八款</w:t>
            </w:r>
            <w:r>
              <w:rPr>
                <w:rFonts w:ascii="標楷體" w:eastAsia="標楷體" w:hAnsi="標楷體" w:cs="細明體" w:hint="eastAsia"/>
                <w:kern w:val="0"/>
                <w:szCs w:val="24"/>
              </w:rPr>
              <w:t>略）</w:t>
            </w:r>
          </w:p>
        </w:tc>
        <w:tc>
          <w:tcPr>
            <w:tcW w:w="3047" w:type="dxa"/>
          </w:tcPr>
          <w:p w:rsidR="00981035" w:rsidRDefault="00981035" w:rsidP="00531159">
            <w:pPr>
              <w:tabs>
                <w:tab w:val="left" w:pos="497"/>
              </w:tabs>
              <w:jc w:val="both"/>
              <w:rPr>
                <w:rFonts w:eastAsia="標楷體"/>
                <w:color w:val="000000"/>
              </w:rPr>
            </w:pPr>
            <w:r>
              <w:rPr>
                <w:rFonts w:eastAsia="標楷體" w:hint="eastAsia"/>
                <w:color w:val="000000"/>
              </w:rPr>
              <w:lastRenderedPageBreak/>
              <w:t>配合開放指數股票型期貨信託基金受益憑證上櫃交易，</w:t>
            </w:r>
            <w:proofErr w:type="gramStart"/>
            <w:r>
              <w:rPr>
                <w:rFonts w:eastAsia="標楷體" w:hint="eastAsia"/>
                <w:color w:val="000000"/>
              </w:rPr>
              <w:t>爰</w:t>
            </w:r>
            <w:proofErr w:type="gramEnd"/>
            <w:r>
              <w:rPr>
                <w:rFonts w:eastAsia="標楷體" w:hint="eastAsia"/>
                <w:color w:val="000000"/>
              </w:rPr>
              <w:t>修正第</w:t>
            </w:r>
            <w:r w:rsidR="002653EB">
              <w:rPr>
                <w:rFonts w:eastAsia="標楷體" w:hint="eastAsia"/>
                <w:color w:val="000000"/>
              </w:rPr>
              <w:t>3</w:t>
            </w:r>
            <w:r>
              <w:rPr>
                <w:rFonts w:eastAsia="標楷體" w:hint="eastAsia"/>
                <w:color w:val="000000"/>
              </w:rPr>
              <w:t>款規定。</w:t>
            </w:r>
          </w:p>
        </w:tc>
      </w:tr>
    </w:tbl>
    <w:p w:rsidR="00750B66" w:rsidRDefault="00750B66" w:rsidP="00750B66">
      <w:pPr>
        <w:widowControl/>
      </w:pPr>
    </w:p>
    <w:sectPr w:rsidR="00750B66"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00" w:rsidRDefault="00126600" w:rsidP="00C10973">
      <w:r>
        <w:separator/>
      </w:r>
    </w:p>
  </w:endnote>
  <w:endnote w:type="continuationSeparator" w:id="0">
    <w:p w:rsidR="00126600" w:rsidRDefault="00126600"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9C44ED" w:rsidRPr="009C44ED">
      <w:rPr>
        <w:noProof/>
        <w:lang w:val="zh-TW"/>
      </w:rPr>
      <w:t>2</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00" w:rsidRDefault="00126600" w:rsidP="00C10973">
      <w:r>
        <w:separator/>
      </w:r>
    </w:p>
  </w:footnote>
  <w:footnote w:type="continuationSeparator" w:id="0">
    <w:p w:rsidR="00126600" w:rsidRDefault="00126600"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5BDD"/>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26600"/>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03E1"/>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555"/>
    <w:rsid w:val="00774BA6"/>
    <w:rsid w:val="00775325"/>
    <w:rsid w:val="00775518"/>
    <w:rsid w:val="00776D33"/>
    <w:rsid w:val="007804D8"/>
    <w:rsid w:val="007811BD"/>
    <w:rsid w:val="00781515"/>
    <w:rsid w:val="007817B3"/>
    <w:rsid w:val="007821FB"/>
    <w:rsid w:val="007854E2"/>
    <w:rsid w:val="00787BB9"/>
    <w:rsid w:val="00787CDA"/>
    <w:rsid w:val="00787CF5"/>
    <w:rsid w:val="00790714"/>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44ED"/>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916"/>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1766"/>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3F5"/>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583"/>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3F90"/>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BDB5-79D7-4FF3-902C-4E0686CE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1857</Characters>
  <Application>Microsoft Office Word</Application>
  <DocSecurity>0</DocSecurity>
  <Lines>15</Lines>
  <Paragraphs>4</Paragraphs>
  <ScaleCrop>false</ScaleCrop>
  <Company>Hewlett-Packard Company</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3</cp:revision>
  <cp:lastPrinted>2018-07-26T08:23:00Z</cp:lastPrinted>
  <dcterms:created xsi:type="dcterms:W3CDTF">2018-08-07T06:44:00Z</dcterms:created>
  <dcterms:modified xsi:type="dcterms:W3CDTF">2018-08-07T06:45:00Z</dcterms:modified>
</cp:coreProperties>
</file>