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66" w:rsidRPr="00042F6C" w:rsidRDefault="00750B66" w:rsidP="00C7765F">
      <w:pPr>
        <w:pStyle w:val="13"/>
        <w:ind w:left="1"/>
        <w:jc w:val="both"/>
        <w:rPr>
          <w:lang w:eastAsia="zh-TW"/>
        </w:rPr>
      </w:pPr>
      <w:bookmarkStart w:id="0" w:name="_Toc521333968"/>
      <w:r w:rsidRPr="00750B66">
        <w:rPr>
          <w:rFonts w:hint="eastAsia"/>
          <w:lang w:eastAsia="zh-TW"/>
        </w:rPr>
        <w:t>財團法人中華民國證券櫃檯買賣中心認可指數股票型基金之標的指數資格應行注意事項第三條及第四條修正條文對照表</w:t>
      </w:r>
      <w:bookmarkEnd w:id="0"/>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3548"/>
        <w:gridCol w:w="3047"/>
      </w:tblGrid>
      <w:tr w:rsidR="00750B66" w:rsidRPr="00B95158" w:rsidTr="00EE34D4">
        <w:trPr>
          <w:tblHeader/>
          <w:jc w:val="center"/>
        </w:trPr>
        <w:tc>
          <w:tcPr>
            <w:tcW w:w="3547"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修正條文</w:t>
            </w:r>
          </w:p>
        </w:tc>
        <w:tc>
          <w:tcPr>
            <w:tcW w:w="3548"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現行條文</w:t>
            </w:r>
          </w:p>
        </w:tc>
        <w:tc>
          <w:tcPr>
            <w:tcW w:w="3047" w:type="dxa"/>
          </w:tcPr>
          <w:p w:rsidR="00750B66" w:rsidRPr="00B95158" w:rsidRDefault="00750B66" w:rsidP="00EE34D4">
            <w:pPr>
              <w:jc w:val="center"/>
              <w:rPr>
                <w:rFonts w:ascii="標楷體" w:eastAsia="標楷體" w:hAnsi="標楷體"/>
                <w:szCs w:val="24"/>
              </w:rPr>
            </w:pPr>
            <w:r w:rsidRPr="00B95158">
              <w:rPr>
                <w:rFonts w:ascii="標楷體" w:eastAsia="標楷體" w:hAnsi="標楷體" w:hint="eastAsia"/>
                <w:szCs w:val="24"/>
              </w:rPr>
              <w:t>說明</w:t>
            </w:r>
          </w:p>
        </w:tc>
      </w:tr>
      <w:tr w:rsidR="00981035" w:rsidRPr="00B95158" w:rsidTr="00EE34D4">
        <w:trPr>
          <w:jc w:val="center"/>
        </w:trPr>
        <w:tc>
          <w:tcPr>
            <w:tcW w:w="3547"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第三條　標的指數之成分應符合下列各款資格條件：</w:t>
            </w:r>
          </w:p>
          <w:p w:rsidR="00981035" w:rsidRDefault="00981035" w:rsidP="00981035">
            <w:pPr>
              <w:widowControl/>
              <w:tabs>
                <w:tab w:val="left" w:pos="746"/>
              </w:tabs>
              <w:ind w:leftChars="100" w:left="720" w:hangingChars="200" w:hanging="480"/>
              <w:jc w:val="both"/>
              <w:rPr>
                <w:rFonts w:ascii="標楷體" w:eastAsia="標楷體" w:hAnsi="標楷體" w:cs="細明體"/>
                <w:color w:val="FF0000"/>
                <w:kern w:val="0"/>
                <w:szCs w:val="24"/>
                <w:u w:val="single"/>
              </w:rPr>
            </w:pPr>
            <w:r>
              <w:rPr>
                <w:rFonts w:ascii="標楷體" w:eastAsia="標楷體" w:hAnsi="標楷體" w:cs="細明體" w:hint="eastAsia"/>
                <w:kern w:val="0"/>
                <w:szCs w:val="24"/>
              </w:rPr>
              <w:t>一、</w:t>
            </w:r>
            <w:r>
              <w:rPr>
                <w:rFonts w:ascii="標楷體" w:eastAsia="標楷體" w:hAnsi="標楷體" w:cs="細明體" w:hint="eastAsia"/>
                <w:kern w:val="0"/>
                <w:szCs w:val="24"/>
              </w:rPr>
              <w:tab/>
              <w:t>符合</w:t>
            </w:r>
            <w:r>
              <w:rPr>
                <w:rFonts w:ascii="標楷體" w:eastAsia="標楷體" w:hAnsi="標楷體" w:cs="細明體" w:hint="eastAsia"/>
                <w:szCs w:val="24"/>
              </w:rPr>
              <w:t>下列標準之</w:t>
            </w:r>
            <w:proofErr w:type="gramStart"/>
            <w:r>
              <w:rPr>
                <w:rFonts w:ascii="標楷體" w:eastAsia="標楷體" w:hAnsi="標楷體" w:cs="細明體" w:hint="eastAsia"/>
                <w:szCs w:val="24"/>
              </w:rPr>
              <w:t>一</w:t>
            </w:r>
            <w:proofErr w:type="gramEnd"/>
            <w:r>
              <w:rPr>
                <w:rFonts w:ascii="標楷體" w:eastAsia="標楷體" w:hAnsi="標楷體" w:cs="細明體" w:hint="eastAsia"/>
                <w:szCs w:val="24"/>
              </w:rPr>
              <w:t>（或以上）：</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一</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於本中心交易。</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二</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於臺灣證券交易所股份有限公司掛牌交易。</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三</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於外國證券集中交易市場或主管機關核准之店頭市場交易</w:t>
            </w:r>
            <w:r>
              <w:rPr>
                <w:rFonts w:ascii="標楷體" w:eastAsia="標楷體" w:hAnsi="標楷體" w:cs="細明體" w:hint="eastAsia"/>
                <w:color w:val="FF0000"/>
                <w:kern w:val="0"/>
                <w:szCs w:val="24"/>
                <w:u w:val="single"/>
              </w:rPr>
              <w:t>，</w:t>
            </w:r>
            <w:r>
              <w:rPr>
                <w:rFonts w:ascii="標楷體" w:eastAsia="標楷體" w:hAnsi="標楷體" w:cs="細明體" w:hint="eastAsia"/>
                <w:kern w:val="0"/>
                <w:szCs w:val="24"/>
              </w:rPr>
              <w:t>並符合證券投資信託基金投資外國有價證券之種類及範圍相關規範者。</w:t>
            </w:r>
          </w:p>
          <w:p w:rsidR="00981035" w:rsidRDefault="00981035" w:rsidP="00981035">
            <w:pPr>
              <w:widowControl/>
              <w:tabs>
                <w:tab w:val="left" w:pos="970"/>
              </w:tabs>
              <w:ind w:leftChars="100" w:left="960" w:hangingChars="300" w:hanging="72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t>（</w:t>
            </w:r>
            <w:r>
              <w:rPr>
                <w:rFonts w:ascii="標楷體" w:eastAsia="標楷體" w:hAnsi="標楷體" w:cs="細明體" w:hint="eastAsia"/>
                <w:color w:val="FF0000"/>
                <w:kern w:val="0"/>
                <w:szCs w:val="24"/>
                <w:u w:val="single"/>
              </w:rPr>
              <w:t>四</w:t>
            </w:r>
            <w:r>
              <w:rPr>
                <w:rFonts w:ascii="標楷體" w:eastAsia="標楷體" w:hAnsi="標楷體" w:hint="eastAsia"/>
                <w:snapToGrid w:val="0"/>
                <w:color w:val="FF0000"/>
                <w:szCs w:val="24"/>
                <w:u w:val="single"/>
              </w:rPr>
              <w:t>）</w:t>
            </w:r>
            <w:r>
              <w:rPr>
                <w:rFonts w:ascii="標楷體" w:eastAsia="標楷體" w:hAnsi="標楷體" w:hint="eastAsia"/>
                <w:snapToGrid w:val="0"/>
                <w:color w:val="FF0000"/>
                <w:szCs w:val="24"/>
                <w:u w:val="single"/>
              </w:rPr>
              <w:tab/>
              <w:t>於臺灣期貨交易所股份有限公司掛牌交易。</w:t>
            </w:r>
          </w:p>
          <w:p w:rsidR="00981035" w:rsidRDefault="00981035" w:rsidP="00981035">
            <w:pPr>
              <w:widowControl/>
              <w:tabs>
                <w:tab w:val="left" w:pos="970"/>
              </w:tabs>
              <w:ind w:leftChars="100" w:left="960" w:hangingChars="300" w:hanging="72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t>（五）</w:t>
            </w:r>
            <w:r>
              <w:rPr>
                <w:rFonts w:ascii="標楷體" w:eastAsia="標楷體" w:hAnsi="標楷體" w:hint="eastAsia"/>
                <w:snapToGrid w:val="0"/>
                <w:color w:val="FF0000"/>
                <w:szCs w:val="24"/>
                <w:u w:val="single"/>
              </w:rPr>
              <w:tab/>
              <w:t>於外國期貨交易市場交易或主管機關核准之期貨交易與期貨相關之現貨商品，並符合期貨信託基金之運用範圍相關規範。</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hint="eastAsia"/>
                <w:snapToGrid w:val="0"/>
                <w:color w:val="FF0000"/>
                <w:szCs w:val="24"/>
                <w:u w:val="single"/>
              </w:rPr>
              <w:t>六</w:t>
            </w:r>
            <w:r>
              <w:rPr>
                <w:rFonts w:ascii="標楷體" w:eastAsia="標楷體" w:hAnsi="標楷體" w:hint="eastAsia"/>
                <w:snapToGrid w:val="0"/>
                <w:szCs w:val="24"/>
              </w:rPr>
              <w:t>）</w:t>
            </w:r>
            <w:r>
              <w:rPr>
                <w:rFonts w:ascii="標楷體" w:eastAsia="標楷體" w:hAnsi="標楷體" w:hint="eastAsia"/>
                <w:snapToGrid w:val="0"/>
                <w:szCs w:val="24"/>
              </w:rPr>
              <w:tab/>
              <w:t>其他經主管機關核准之商品。</w:t>
            </w:r>
          </w:p>
          <w:p w:rsidR="00981035" w:rsidRDefault="00981035" w:rsidP="00981035">
            <w:pPr>
              <w:widowControl/>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hint="eastAsia"/>
                <w:kern w:val="0"/>
                <w:szCs w:val="24"/>
              </w:rPr>
              <w:tab/>
              <w:t>須</w:t>
            </w:r>
            <w:r>
              <w:rPr>
                <w:rFonts w:ascii="標楷體" w:eastAsia="標楷體" w:hAnsi="標楷體" w:hint="eastAsia"/>
                <w:snapToGrid w:val="0"/>
                <w:szCs w:val="24"/>
              </w:rPr>
              <w:t>具備</w:t>
            </w:r>
            <w:r>
              <w:rPr>
                <w:rFonts w:ascii="標楷體" w:eastAsia="標楷體" w:hAnsi="標楷體" w:cs="細明體" w:hint="eastAsia"/>
                <w:kern w:val="0"/>
                <w:szCs w:val="24"/>
              </w:rPr>
              <w:t>下列屬性標準：</w:t>
            </w:r>
          </w:p>
          <w:p w:rsidR="00981035" w:rsidRDefault="00981035" w:rsidP="00981035">
            <w:pPr>
              <w:widowControl/>
              <w:tabs>
                <w:tab w:val="left" w:pos="964"/>
              </w:tabs>
              <w:ind w:leftChars="100" w:left="960" w:hangingChars="300" w:hanging="720"/>
              <w:jc w:val="both"/>
              <w:rPr>
                <w:rFonts w:ascii="標楷體" w:eastAsia="標楷體" w:hAnsi="標楷體"/>
                <w:snapToGrid w:val="0"/>
                <w:szCs w:val="24"/>
              </w:rPr>
            </w:pPr>
            <w:r>
              <w:rPr>
                <w:rFonts w:ascii="標楷體" w:eastAsia="標楷體" w:hAnsi="標楷體" w:hint="eastAsia"/>
                <w:snapToGrid w:val="0"/>
                <w:szCs w:val="24"/>
              </w:rPr>
              <w:t>（一）</w:t>
            </w:r>
            <w:r>
              <w:rPr>
                <w:rFonts w:ascii="標楷體" w:eastAsia="標楷體" w:hAnsi="標楷體" w:hint="eastAsia"/>
                <w:snapToGrid w:val="0"/>
                <w:szCs w:val="24"/>
              </w:rPr>
              <w:tab/>
              <w:t>指數成分須具備足夠分散性，其中占該指數市值比重最高者，所占之比重不得高於百分之三十，且累計前五大成分，占該指數之市值比重不得超過百分之六十五。但</w:t>
            </w:r>
            <w:r>
              <w:rPr>
                <w:rFonts w:ascii="標楷體" w:eastAsia="標楷體" w:hAnsi="標楷體" w:hint="eastAsia"/>
                <w:snapToGrid w:val="0"/>
                <w:color w:val="FF0000"/>
                <w:szCs w:val="24"/>
                <w:u w:val="single"/>
              </w:rPr>
              <w:t>基金投資因標的指數之特性，而有期貨信託基金管理辦法第十條之一第三項第三款情形者，不在此限</w:t>
            </w:r>
            <w:r w:rsidR="00152155">
              <w:rPr>
                <w:rFonts w:ascii="標楷體" w:eastAsia="標楷體" w:hAnsi="標楷體" w:hint="eastAsia"/>
                <w:snapToGrid w:val="0"/>
                <w:color w:val="FF0000"/>
                <w:szCs w:val="24"/>
                <w:u w:val="single"/>
              </w:rPr>
              <w:t>，且</w:t>
            </w:r>
            <w:r>
              <w:rPr>
                <w:rFonts w:ascii="標楷體" w:eastAsia="標楷體" w:hAnsi="標楷體" w:hint="eastAsia"/>
                <w:snapToGrid w:val="0"/>
                <w:szCs w:val="24"/>
              </w:rPr>
              <w:t>本中心得因指數</w:t>
            </w:r>
            <w:r>
              <w:rPr>
                <w:rFonts w:ascii="標楷體" w:eastAsia="標楷體" w:hAnsi="標楷體" w:hint="eastAsia"/>
                <w:snapToGrid w:val="0"/>
                <w:szCs w:val="24"/>
              </w:rPr>
              <w:lastRenderedPageBreak/>
              <w:t>成分特性或市場限制，調整前述比例。</w:t>
            </w:r>
          </w:p>
          <w:p w:rsidR="00981035" w:rsidRDefault="00981035" w:rsidP="00981035">
            <w:pPr>
              <w:widowControl/>
              <w:tabs>
                <w:tab w:val="left" w:pos="964"/>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（二）</w:t>
            </w:r>
            <w:r>
              <w:rPr>
                <w:rFonts w:ascii="標楷體" w:eastAsia="標楷體" w:hAnsi="標楷體" w:hint="eastAsia"/>
                <w:snapToGrid w:val="0"/>
                <w:szCs w:val="24"/>
              </w:rPr>
              <w:tab/>
            </w:r>
            <w:r>
              <w:rPr>
                <w:rFonts w:ascii="標楷體" w:eastAsia="標楷體" w:hAnsi="標楷體" w:cs="細明體" w:hint="eastAsia"/>
                <w:kern w:val="0"/>
                <w:szCs w:val="24"/>
              </w:rPr>
              <w:t>指數成分須具備一定程度之流動性，本中心得依指數成分之不同特性，要求其應具備之流動性標準。</w:t>
            </w:r>
          </w:p>
        </w:tc>
        <w:tc>
          <w:tcPr>
            <w:tcW w:w="3548" w:type="dxa"/>
          </w:tcPr>
          <w:p w:rsidR="00981035" w:rsidRDefault="00981035" w:rsidP="00981035">
            <w:pPr>
              <w:widowControl/>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第三條　標的指數之成分應符合下列各款資格條件：</w:t>
            </w:r>
          </w:p>
          <w:p w:rsidR="00981035" w:rsidRDefault="00981035" w:rsidP="00981035">
            <w:pPr>
              <w:widowControl/>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一、</w:t>
            </w:r>
            <w:r>
              <w:rPr>
                <w:rFonts w:ascii="標楷體" w:eastAsia="標楷體" w:hAnsi="標楷體" w:cs="細明體" w:hint="eastAsia"/>
                <w:kern w:val="0"/>
                <w:szCs w:val="24"/>
              </w:rPr>
              <w:tab/>
              <w:t>符合</w:t>
            </w:r>
            <w:r>
              <w:rPr>
                <w:rFonts w:ascii="標楷體" w:eastAsia="標楷體" w:hAnsi="標楷體" w:cs="細明體" w:hint="eastAsia"/>
                <w:szCs w:val="24"/>
              </w:rPr>
              <w:t>下列標準之</w:t>
            </w:r>
            <w:proofErr w:type="gramStart"/>
            <w:r>
              <w:rPr>
                <w:rFonts w:ascii="標楷體" w:eastAsia="標楷體" w:hAnsi="標楷體" w:cs="細明體" w:hint="eastAsia"/>
                <w:szCs w:val="24"/>
              </w:rPr>
              <w:t>一</w:t>
            </w:r>
            <w:proofErr w:type="gramEnd"/>
            <w:r>
              <w:rPr>
                <w:rFonts w:ascii="標楷體" w:eastAsia="標楷體" w:hAnsi="標楷體" w:cs="細明體" w:hint="eastAsia"/>
                <w:szCs w:val="24"/>
              </w:rPr>
              <w:t>（或以上）：</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一</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於本中心交易。</w:t>
            </w:r>
          </w:p>
          <w:p w:rsidR="00981035" w:rsidRDefault="00981035" w:rsidP="00981035">
            <w:pPr>
              <w:widowControl/>
              <w:tabs>
                <w:tab w:val="left" w:pos="970"/>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二</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於臺灣證券交易所股份有限公司掛牌交易。</w:t>
            </w:r>
          </w:p>
          <w:p w:rsidR="00981035" w:rsidRDefault="00981035" w:rsidP="00981035">
            <w:pPr>
              <w:widowControl/>
              <w:tabs>
                <w:tab w:val="left" w:pos="964"/>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三</w:t>
            </w:r>
            <w:r>
              <w:rPr>
                <w:rFonts w:ascii="標楷體" w:eastAsia="標楷體" w:hAnsi="標楷體" w:hint="eastAsia"/>
                <w:snapToGrid w:val="0"/>
                <w:szCs w:val="24"/>
              </w:rPr>
              <w:t>）</w:t>
            </w:r>
            <w:r>
              <w:rPr>
                <w:rFonts w:ascii="標楷體" w:eastAsia="標楷體" w:hAnsi="標楷體" w:hint="eastAsia"/>
                <w:snapToGrid w:val="0"/>
                <w:szCs w:val="24"/>
              </w:rPr>
              <w:tab/>
            </w:r>
            <w:r>
              <w:rPr>
                <w:rFonts w:ascii="標楷體" w:eastAsia="標楷體" w:hAnsi="標楷體" w:cs="細明體" w:hint="eastAsia"/>
                <w:kern w:val="0"/>
                <w:szCs w:val="24"/>
              </w:rPr>
              <w:t>於外國證券集中交易市場或主管機關核准之店頭市場交易，並符合證券投資信託基金投資</w:t>
            </w:r>
            <w:r>
              <w:rPr>
                <w:rFonts w:ascii="標楷體" w:eastAsia="標楷體" w:hAnsi="標楷體" w:hint="eastAsia"/>
                <w:snapToGrid w:val="0"/>
                <w:szCs w:val="24"/>
              </w:rPr>
              <w:t>外國</w:t>
            </w:r>
            <w:r>
              <w:rPr>
                <w:rFonts w:ascii="標楷體" w:eastAsia="標楷體" w:hAnsi="標楷體" w:cs="細明體" w:hint="eastAsia"/>
                <w:kern w:val="0"/>
                <w:szCs w:val="24"/>
              </w:rPr>
              <w:t>有價證券之種類及範圍相關規範者。</w:t>
            </w: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830"/>
              </w:tabs>
              <w:ind w:leftChars="100" w:left="960" w:hangingChars="300" w:hanging="720"/>
              <w:jc w:val="both"/>
              <w:rPr>
                <w:rFonts w:ascii="標楷體" w:eastAsia="標楷體" w:hAnsi="標楷體"/>
                <w:snapToGrid w:val="0"/>
                <w:szCs w:val="24"/>
              </w:rPr>
            </w:pPr>
          </w:p>
          <w:p w:rsidR="00981035" w:rsidRDefault="00981035" w:rsidP="00981035">
            <w:pPr>
              <w:widowControl/>
              <w:tabs>
                <w:tab w:val="left" w:pos="964"/>
              </w:tabs>
              <w:ind w:leftChars="100" w:left="960" w:hangingChars="300" w:hanging="720"/>
              <w:jc w:val="both"/>
              <w:rPr>
                <w:rFonts w:ascii="標楷體" w:eastAsia="標楷體" w:hAnsi="標楷體" w:cs="細明體"/>
                <w:kern w:val="0"/>
                <w:szCs w:val="24"/>
              </w:rPr>
            </w:pPr>
            <w:r>
              <w:rPr>
                <w:rFonts w:ascii="標楷體" w:eastAsia="標楷體" w:hAnsi="標楷體" w:hint="eastAsia"/>
                <w:snapToGrid w:val="0"/>
                <w:szCs w:val="24"/>
              </w:rPr>
              <w:t>（</w:t>
            </w:r>
            <w:r>
              <w:rPr>
                <w:rFonts w:ascii="標楷體" w:eastAsia="標楷體" w:hAnsi="標楷體" w:cs="細明體" w:hint="eastAsia"/>
                <w:kern w:val="0"/>
                <w:szCs w:val="24"/>
              </w:rPr>
              <w:t>四</w:t>
            </w:r>
            <w:r>
              <w:rPr>
                <w:rFonts w:ascii="標楷體" w:eastAsia="標楷體" w:hAnsi="標楷體" w:hint="eastAsia"/>
                <w:snapToGrid w:val="0"/>
                <w:szCs w:val="24"/>
              </w:rPr>
              <w:t>）</w:t>
            </w:r>
            <w:r>
              <w:rPr>
                <w:rFonts w:ascii="標楷體" w:eastAsia="標楷體" w:hAnsi="標楷體" w:hint="eastAsia"/>
                <w:snapToGrid w:val="0"/>
                <w:szCs w:val="24"/>
              </w:rPr>
              <w:tab/>
              <w:t>其他經</w:t>
            </w:r>
            <w:r>
              <w:rPr>
                <w:rFonts w:ascii="標楷體" w:eastAsia="標楷體" w:hAnsi="標楷體" w:cs="細明體" w:hint="eastAsia"/>
                <w:kern w:val="0"/>
                <w:szCs w:val="24"/>
              </w:rPr>
              <w:t>主管機關</w:t>
            </w:r>
            <w:r>
              <w:rPr>
                <w:rFonts w:ascii="標楷體" w:eastAsia="標楷體" w:hAnsi="標楷體" w:hint="eastAsia"/>
                <w:snapToGrid w:val="0"/>
                <w:szCs w:val="24"/>
              </w:rPr>
              <w:t>核准之商品。</w:t>
            </w:r>
          </w:p>
          <w:p w:rsidR="00981035" w:rsidRDefault="00981035" w:rsidP="00981035">
            <w:pPr>
              <w:widowControl/>
              <w:tabs>
                <w:tab w:val="left" w:pos="746"/>
              </w:tabs>
              <w:ind w:leftChars="100" w:left="720" w:hangingChars="200" w:hanging="480"/>
              <w:jc w:val="both"/>
              <w:rPr>
                <w:rFonts w:ascii="標楷體" w:eastAsia="標楷體" w:hAnsi="標楷體" w:cs="細明體"/>
                <w:kern w:val="0"/>
                <w:szCs w:val="24"/>
              </w:rPr>
            </w:pPr>
            <w:r>
              <w:rPr>
                <w:rFonts w:ascii="標楷體" w:eastAsia="標楷體" w:hAnsi="標楷體" w:cs="細明體" w:hint="eastAsia"/>
                <w:kern w:val="0"/>
                <w:szCs w:val="24"/>
              </w:rPr>
              <w:t>二、</w:t>
            </w:r>
            <w:r>
              <w:rPr>
                <w:rFonts w:ascii="標楷體" w:eastAsia="標楷體" w:hAnsi="標楷體" w:cs="細明體" w:hint="eastAsia"/>
                <w:kern w:val="0"/>
                <w:szCs w:val="24"/>
              </w:rPr>
              <w:tab/>
              <w:t>須</w:t>
            </w:r>
            <w:r>
              <w:rPr>
                <w:rFonts w:ascii="標楷體" w:eastAsia="標楷體" w:hAnsi="標楷體" w:hint="eastAsia"/>
                <w:snapToGrid w:val="0"/>
                <w:szCs w:val="24"/>
              </w:rPr>
              <w:t>具備</w:t>
            </w:r>
            <w:r>
              <w:rPr>
                <w:rFonts w:ascii="標楷體" w:eastAsia="標楷體" w:hAnsi="標楷體" w:cs="細明體" w:hint="eastAsia"/>
                <w:kern w:val="0"/>
                <w:szCs w:val="24"/>
              </w:rPr>
              <w:t>下列屬性標準：</w:t>
            </w:r>
          </w:p>
          <w:p w:rsidR="00981035" w:rsidRDefault="00981035" w:rsidP="00D47379">
            <w:pPr>
              <w:widowControl/>
              <w:numPr>
                <w:ilvl w:val="0"/>
                <w:numId w:val="6"/>
              </w:numPr>
              <w:tabs>
                <w:tab w:val="left" w:pos="964"/>
              </w:tabs>
              <w:jc w:val="both"/>
              <w:rPr>
                <w:rFonts w:ascii="標楷體" w:eastAsia="標楷體" w:hAnsi="標楷體"/>
                <w:snapToGrid w:val="0"/>
                <w:szCs w:val="24"/>
              </w:rPr>
            </w:pPr>
            <w:r>
              <w:rPr>
                <w:rFonts w:ascii="標楷體" w:eastAsia="標楷體" w:hAnsi="標楷體" w:hint="eastAsia"/>
                <w:snapToGrid w:val="0"/>
                <w:szCs w:val="24"/>
              </w:rPr>
              <w:t>指數成分須具備足夠分散性，其中占該指數市值比重最高者，所占之比重不得高於百分之三十，且累計前五大成分，占該指數之市值比重不得超過百分之六十五。但本中心得因指數成分特性或市場限制，調整前述比例。</w:t>
            </w: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jc w:val="both"/>
              <w:rPr>
                <w:rFonts w:ascii="標楷體" w:eastAsia="標楷體" w:hAnsi="標楷體"/>
                <w:snapToGrid w:val="0"/>
                <w:szCs w:val="24"/>
              </w:rPr>
            </w:pPr>
          </w:p>
          <w:p w:rsidR="00981035" w:rsidRDefault="00981035" w:rsidP="00981035">
            <w:pPr>
              <w:widowControl/>
              <w:tabs>
                <w:tab w:val="left" w:pos="964"/>
              </w:tabs>
              <w:ind w:leftChars="100" w:left="960" w:hangingChars="300" w:hanging="720"/>
              <w:jc w:val="both"/>
              <w:rPr>
                <w:rFonts w:ascii="標楷體" w:eastAsia="標楷體" w:hAnsi="標楷體"/>
              </w:rPr>
            </w:pPr>
            <w:r>
              <w:rPr>
                <w:rFonts w:ascii="標楷體" w:eastAsia="標楷體" w:hAnsi="標楷體" w:hint="eastAsia"/>
                <w:snapToGrid w:val="0"/>
                <w:szCs w:val="24"/>
              </w:rPr>
              <w:t>（二）</w:t>
            </w:r>
            <w:r>
              <w:rPr>
                <w:rFonts w:ascii="標楷體" w:eastAsia="標楷體" w:hAnsi="標楷體" w:hint="eastAsia"/>
                <w:snapToGrid w:val="0"/>
                <w:szCs w:val="24"/>
              </w:rPr>
              <w:tab/>
              <w:t>指數成分須具備一定程度</w:t>
            </w:r>
            <w:r>
              <w:rPr>
                <w:rFonts w:ascii="標楷體" w:eastAsia="標楷體" w:hAnsi="標楷體" w:cs="細明體" w:hint="eastAsia"/>
                <w:kern w:val="0"/>
                <w:szCs w:val="24"/>
              </w:rPr>
              <w:t>之流動性，本中心得依指數成分之不同特性，要求其應具備之流動性標準。</w:t>
            </w:r>
          </w:p>
        </w:tc>
        <w:tc>
          <w:tcPr>
            <w:tcW w:w="3047" w:type="dxa"/>
          </w:tcPr>
          <w:p w:rsidR="00981035" w:rsidRDefault="00981035" w:rsidP="00981035">
            <w:pPr>
              <w:tabs>
                <w:tab w:val="left" w:pos="497"/>
              </w:tabs>
              <w:ind w:left="480" w:hangingChars="200" w:hanging="480"/>
              <w:jc w:val="both"/>
              <w:rPr>
                <w:rFonts w:ascii="Book Antiqua" w:eastAsia="標楷體" w:hAnsi="標楷體"/>
                <w:color w:val="000000"/>
                <w:szCs w:val="24"/>
              </w:rPr>
            </w:pPr>
            <w:r>
              <w:rPr>
                <w:rFonts w:eastAsia="標楷體" w:hint="eastAsia"/>
                <w:color w:val="000000"/>
              </w:rPr>
              <w:lastRenderedPageBreak/>
              <w:t>一、</w:t>
            </w:r>
            <w:r>
              <w:rPr>
                <w:rFonts w:eastAsia="標楷體"/>
                <w:color w:val="000000"/>
              </w:rPr>
              <w:tab/>
            </w:r>
            <w:r>
              <w:rPr>
                <w:rFonts w:ascii="Book Antiqua" w:eastAsia="標楷體" w:hAnsi="標楷體" w:hint="eastAsia"/>
                <w:color w:val="000000"/>
                <w:szCs w:val="24"/>
              </w:rPr>
              <w:t>配合上櫃指數股票型期貨信託基金之發行，將期貨及其他經主管機關核准之商品納入標的指數成分之資格條件，</w:t>
            </w:r>
            <w:proofErr w:type="gramStart"/>
            <w:r w:rsidRPr="00DC2A29">
              <w:rPr>
                <w:rFonts w:asciiTheme="minorHAnsi" w:eastAsia="標楷體" w:hAnsiTheme="minorHAnsi"/>
                <w:color w:val="000000"/>
                <w:szCs w:val="24"/>
              </w:rPr>
              <w:t>爰</w:t>
            </w:r>
            <w:proofErr w:type="gramEnd"/>
            <w:r w:rsidRPr="00DC2A29">
              <w:rPr>
                <w:rFonts w:asciiTheme="minorHAnsi" w:eastAsia="標楷體" w:hAnsiTheme="minorHAnsi"/>
                <w:color w:val="000000"/>
                <w:szCs w:val="24"/>
              </w:rPr>
              <w:t>新增第</w:t>
            </w:r>
            <w:r w:rsidRPr="00DC2A29">
              <w:rPr>
                <w:rFonts w:asciiTheme="minorHAnsi" w:eastAsia="標楷體" w:hAnsiTheme="minorHAnsi"/>
                <w:color w:val="000000"/>
                <w:szCs w:val="24"/>
              </w:rPr>
              <w:t>1</w:t>
            </w:r>
            <w:r w:rsidRPr="00DC2A29">
              <w:rPr>
                <w:rFonts w:asciiTheme="minorHAnsi" w:eastAsia="標楷體" w:hAnsiTheme="minorHAnsi"/>
                <w:color w:val="000000"/>
                <w:szCs w:val="24"/>
              </w:rPr>
              <w:t>款第</w:t>
            </w:r>
            <w:r w:rsidRPr="00DC2A29">
              <w:rPr>
                <w:rFonts w:asciiTheme="minorHAnsi" w:eastAsia="標楷體" w:hAnsiTheme="minorHAnsi"/>
                <w:color w:val="000000"/>
                <w:szCs w:val="24"/>
              </w:rPr>
              <w:t>4</w:t>
            </w:r>
            <w:r w:rsidRPr="00DC2A29">
              <w:rPr>
                <w:rFonts w:asciiTheme="minorHAnsi" w:eastAsia="標楷體" w:hAnsiTheme="minorHAnsi"/>
                <w:color w:val="000000"/>
                <w:szCs w:val="24"/>
              </w:rPr>
              <w:t>目及第</w:t>
            </w:r>
            <w:r w:rsidRPr="00DC2A29">
              <w:rPr>
                <w:rFonts w:asciiTheme="minorHAnsi" w:eastAsia="標楷體" w:hAnsiTheme="minorHAnsi"/>
                <w:color w:val="000000"/>
                <w:szCs w:val="24"/>
              </w:rPr>
              <w:t>5</w:t>
            </w:r>
            <w:r w:rsidRPr="00DC2A29">
              <w:rPr>
                <w:rFonts w:asciiTheme="minorHAnsi" w:eastAsia="標楷體" w:hAnsiTheme="minorHAnsi"/>
                <w:color w:val="000000"/>
                <w:szCs w:val="24"/>
              </w:rPr>
              <w:t>目之規定，原第</w:t>
            </w:r>
            <w:r w:rsidRPr="00DC2A29">
              <w:rPr>
                <w:rFonts w:asciiTheme="minorHAnsi" w:eastAsia="標楷體" w:hAnsiTheme="minorHAnsi"/>
                <w:color w:val="000000"/>
                <w:szCs w:val="24"/>
              </w:rPr>
              <w:t>4</w:t>
            </w:r>
            <w:r w:rsidRPr="00DC2A29">
              <w:rPr>
                <w:rFonts w:asciiTheme="minorHAnsi" w:eastAsia="標楷體" w:hAnsiTheme="minorHAnsi"/>
                <w:color w:val="000000"/>
                <w:szCs w:val="24"/>
              </w:rPr>
              <w:t>目調整為第</w:t>
            </w:r>
            <w:r w:rsidRPr="00DC2A29">
              <w:rPr>
                <w:rFonts w:asciiTheme="minorHAnsi" w:eastAsia="標楷體" w:hAnsiTheme="minorHAnsi"/>
                <w:color w:val="000000"/>
                <w:szCs w:val="24"/>
              </w:rPr>
              <w:t>6</w:t>
            </w:r>
            <w:r w:rsidR="00DC2A29" w:rsidRPr="00DC2A29">
              <w:rPr>
                <w:rFonts w:asciiTheme="minorHAnsi" w:eastAsia="標楷體" w:hAnsiTheme="minorHAnsi"/>
                <w:color w:val="000000"/>
                <w:szCs w:val="24"/>
              </w:rPr>
              <w:t>目</w:t>
            </w:r>
            <w:r>
              <w:rPr>
                <w:rFonts w:ascii="Book Antiqua" w:eastAsia="標楷體" w:hAnsi="標楷體" w:hint="eastAsia"/>
                <w:color w:val="000000"/>
                <w:szCs w:val="24"/>
              </w:rPr>
              <w:t>。</w:t>
            </w:r>
          </w:p>
          <w:p w:rsidR="00981035" w:rsidRPr="00B95158" w:rsidRDefault="00981035" w:rsidP="00981035">
            <w:pPr>
              <w:tabs>
                <w:tab w:val="left" w:pos="482"/>
              </w:tabs>
              <w:ind w:left="480" w:hangingChars="200" w:hanging="480"/>
              <w:jc w:val="both"/>
              <w:rPr>
                <w:rFonts w:ascii="標楷體" w:eastAsia="標楷體" w:hAnsi="標楷體" w:cs="細明體"/>
                <w:color w:val="000000"/>
                <w:kern w:val="0"/>
                <w:szCs w:val="24"/>
              </w:rPr>
            </w:pPr>
            <w:r>
              <w:rPr>
                <w:rFonts w:ascii="Book Antiqua" w:eastAsia="標楷體" w:hAnsi="標楷體" w:hint="eastAsia"/>
                <w:color w:val="000000"/>
                <w:szCs w:val="24"/>
              </w:rPr>
              <w:t>二、</w:t>
            </w:r>
            <w:r>
              <w:rPr>
                <w:rFonts w:ascii="Book Antiqua" w:eastAsia="標楷體" w:hAnsi="標楷體"/>
                <w:color w:val="000000"/>
                <w:szCs w:val="24"/>
              </w:rPr>
              <w:tab/>
            </w:r>
            <w:r>
              <w:rPr>
                <w:rFonts w:ascii="Book Antiqua" w:eastAsia="標楷體" w:hAnsi="標楷體" w:hint="eastAsia"/>
                <w:color w:val="000000"/>
                <w:szCs w:val="24"/>
              </w:rPr>
              <w:t>配合期貨信託基金管理辦法</w:t>
            </w:r>
            <w:r w:rsidRPr="00DC2A29">
              <w:rPr>
                <w:rFonts w:asciiTheme="minorHAnsi" w:eastAsia="標楷體" w:hAnsiTheme="minorHAnsi"/>
                <w:color w:val="000000"/>
                <w:szCs w:val="24"/>
              </w:rPr>
              <w:t>第</w:t>
            </w:r>
            <w:r w:rsidRPr="00DC2A29">
              <w:rPr>
                <w:rFonts w:asciiTheme="minorHAnsi" w:eastAsia="標楷體" w:hAnsiTheme="minorHAnsi"/>
                <w:color w:val="000000"/>
                <w:szCs w:val="24"/>
              </w:rPr>
              <w:t>10</w:t>
            </w:r>
            <w:r w:rsidRPr="00DC2A29">
              <w:rPr>
                <w:rFonts w:asciiTheme="minorHAnsi" w:eastAsia="標楷體" w:hAnsiTheme="minorHAnsi"/>
                <w:color w:val="000000"/>
                <w:szCs w:val="24"/>
              </w:rPr>
              <w:t>條之</w:t>
            </w:r>
            <w:r w:rsidRPr="00DC2A29">
              <w:rPr>
                <w:rFonts w:asciiTheme="minorHAnsi" w:eastAsia="標楷體" w:hAnsiTheme="minorHAnsi"/>
                <w:color w:val="000000"/>
                <w:szCs w:val="24"/>
              </w:rPr>
              <w:t>1</w:t>
            </w:r>
            <w:r w:rsidRPr="00DC2A29">
              <w:rPr>
                <w:rFonts w:asciiTheme="minorHAnsi" w:eastAsia="標楷體" w:hAnsiTheme="minorHAnsi"/>
                <w:color w:val="000000"/>
                <w:szCs w:val="24"/>
              </w:rPr>
              <w:t>第</w:t>
            </w:r>
            <w:r w:rsidRPr="00DC2A29">
              <w:rPr>
                <w:rFonts w:asciiTheme="minorHAnsi" w:eastAsia="標楷體" w:hAnsiTheme="minorHAnsi"/>
                <w:color w:val="000000"/>
                <w:szCs w:val="24"/>
              </w:rPr>
              <w:t>3</w:t>
            </w:r>
            <w:r w:rsidRPr="00DC2A29">
              <w:rPr>
                <w:rFonts w:asciiTheme="minorHAnsi" w:eastAsia="標楷體" w:hAnsiTheme="minorHAnsi"/>
                <w:color w:val="000000"/>
                <w:szCs w:val="24"/>
              </w:rPr>
              <w:t>項第</w:t>
            </w:r>
            <w:r w:rsidRPr="00DC2A29">
              <w:rPr>
                <w:rFonts w:asciiTheme="minorHAnsi" w:eastAsia="標楷體" w:hAnsiTheme="minorHAnsi"/>
                <w:color w:val="000000"/>
                <w:szCs w:val="24"/>
              </w:rPr>
              <w:t>3</w:t>
            </w:r>
            <w:r w:rsidRPr="00DC2A29">
              <w:rPr>
                <w:rFonts w:asciiTheme="minorHAnsi" w:eastAsia="標楷體" w:hAnsiTheme="minorHAnsi"/>
                <w:color w:val="000000"/>
                <w:szCs w:val="24"/>
              </w:rPr>
              <w:t>款對期貨信託基金分散性之但書規定，</w:t>
            </w:r>
            <w:proofErr w:type="gramStart"/>
            <w:r w:rsidRPr="00DC2A29">
              <w:rPr>
                <w:rFonts w:asciiTheme="minorHAnsi" w:eastAsia="標楷體" w:hAnsiTheme="minorHAnsi"/>
                <w:color w:val="000000"/>
                <w:szCs w:val="24"/>
              </w:rPr>
              <w:t>爰</w:t>
            </w:r>
            <w:proofErr w:type="gramEnd"/>
            <w:r w:rsidR="00152155">
              <w:rPr>
                <w:rFonts w:asciiTheme="minorHAnsi" w:eastAsia="標楷體" w:hAnsiTheme="minorHAnsi" w:hint="eastAsia"/>
                <w:color w:val="000000"/>
                <w:szCs w:val="24"/>
              </w:rPr>
              <w:t>修正</w:t>
            </w:r>
            <w:r w:rsidRPr="00DC2A29">
              <w:rPr>
                <w:rFonts w:asciiTheme="minorHAnsi" w:eastAsia="標楷體" w:hAnsiTheme="minorHAnsi"/>
                <w:color w:val="000000"/>
                <w:szCs w:val="24"/>
              </w:rPr>
              <w:t>第</w:t>
            </w:r>
            <w:r w:rsidRPr="00DC2A29">
              <w:rPr>
                <w:rFonts w:asciiTheme="minorHAnsi" w:eastAsia="標楷體" w:hAnsiTheme="minorHAnsi"/>
                <w:color w:val="000000"/>
                <w:szCs w:val="24"/>
              </w:rPr>
              <w:t>2</w:t>
            </w:r>
            <w:r w:rsidRPr="00DC2A29">
              <w:rPr>
                <w:rFonts w:asciiTheme="minorHAnsi" w:eastAsia="標楷體" w:hAnsiTheme="minorHAnsi"/>
                <w:color w:val="000000"/>
                <w:szCs w:val="24"/>
              </w:rPr>
              <w:t>款第</w:t>
            </w:r>
            <w:r w:rsidRPr="00DC2A29">
              <w:rPr>
                <w:rFonts w:asciiTheme="minorHAnsi" w:eastAsia="標楷體" w:hAnsiTheme="minorHAnsi"/>
                <w:color w:val="000000"/>
                <w:szCs w:val="24"/>
              </w:rPr>
              <w:t>1</w:t>
            </w:r>
            <w:r w:rsidRPr="00DC2A29">
              <w:rPr>
                <w:rFonts w:asciiTheme="minorHAnsi" w:eastAsia="標楷體" w:hAnsiTheme="minorHAnsi"/>
                <w:color w:val="000000"/>
                <w:szCs w:val="24"/>
              </w:rPr>
              <w:t>目但書規</w:t>
            </w:r>
            <w:r>
              <w:rPr>
                <w:rFonts w:ascii="Book Antiqua" w:eastAsia="標楷體" w:hAnsi="標楷體" w:hint="eastAsia"/>
                <w:color w:val="000000"/>
                <w:szCs w:val="24"/>
              </w:rPr>
              <w:t>定。</w:t>
            </w:r>
          </w:p>
        </w:tc>
      </w:tr>
      <w:tr w:rsidR="00981035" w:rsidRPr="00B95158" w:rsidTr="00EE34D4">
        <w:trPr>
          <w:jc w:val="center"/>
        </w:trPr>
        <w:tc>
          <w:tcPr>
            <w:tcW w:w="3547" w:type="dxa"/>
          </w:tcPr>
          <w:p w:rsidR="00981035" w:rsidRDefault="00981035" w:rsidP="00981035">
            <w:pPr>
              <w:widowControl/>
              <w:ind w:left="240" w:hangingChars="100" w:hanging="240"/>
              <w:jc w:val="both"/>
              <w:rPr>
                <w:rFonts w:ascii="標楷體" w:eastAsia="標楷體" w:hAnsi="標楷體"/>
              </w:rPr>
            </w:pPr>
            <w:r>
              <w:rPr>
                <w:rFonts w:ascii="標楷體" w:eastAsia="標楷體" w:hAnsi="標楷體" w:hint="eastAsia"/>
              </w:rPr>
              <w:t>第四條　發行人申請上櫃指數股票型基金之標的指數非屬本中心自行編製或非屬本中心與其他機構合編者，應於向主管機關申請核准或申報生效該基金之募集前，填具同意函申請書如附件，並檢具下列文件，於繳納指數審查費後，向本中心申請同意函：</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一、</w:t>
            </w:r>
            <w:r>
              <w:rPr>
                <w:rFonts w:ascii="標楷體" w:eastAsia="標楷體" w:hAnsi="標楷體" w:hint="eastAsia"/>
              </w:rPr>
              <w:tab/>
              <w:t>與指數編製機構簽訂之指數授權契約或意向書影本。</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二、</w:t>
            </w:r>
            <w:r>
              <w:rPr>
                <w:rFonts w:ascii="標楷體" w:eastAsia="標楷體" w:hAnsi="標楷體" w:hint="eastAsia"/>
              </w:rPr>
              <w:tab/>
              <w:t>該指數編製機構符合本注意事項第二條規定之證明書件。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三、</w:t>
            </w:r>
            <w:r>
              <w:rPr>
                <w:rFonts w:ascii="標楷體" w:eastAsia="標楷體" w:hAnsi="標楷體" w:hint="eastAsia"/>
              </w:rPr>
              <w:tab/>
              <w:t>該標的指數之成分符合本注意事項第三條規定之證明書件。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四、</w:t>
            </w:r>
            <w:r>
              <w:rPr>
                <w:rFonts w:ascii="標楷體" w:eastAsia="標楷體" w:hAnsi="標楷體" w:hint="eastAsia"/>
              </w:rPr>
              <w:tab/>
              <w:t>標的指數成分之流動性分析及相關參考文件。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五、</w:t>
            </w:r>
            <w:r>
              <w:rPr>
                <w:rFonts w:ascii="標楷體" w:eastAsia="標楷體" w:hAnsi="標楷體" w:hint="eastAsia"/>
              </w:rPr>
              <w:tab/>
              <w:t>標的指數詳細之計算方法與依據，以及標的指數成分的採納及替換原則。</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六、</w:t>
            </w:r>
            <w:r>
              <w:rPr>
                <w:rFonts w:ascii="標楷體" w:eastAsia="標楷體" w:hAnsi="標楷體" w:hint="eastAsia"/>
              </w:rPr>
              <w:tab/>
              <w:t>標的指數最近至少一年以上之歷史資料。</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七、</w:t>
            </w:r>
            <w:r>
              <w:rPr>
                <w:rFonts w:ascii="標楷體" w:eastAsia="標楷體" w:hAnsi="標楷體" w:hint="eastAsia"/>
              </w:rPr>
              <w:tab/>
              <w:t>未來上櫃後，所有可供我國投資人取得該指數相關資訊之管道，以及相關資訊之內容。</w:t>
            </w:r>
          </w:p>
          <w:p w:rsidR="00981035" w:rsidRDefault="00981035" w:rsidP="00981035">
            <w:pPr>
              <w:ind w:leftChars="100" w:left="240" w:firstLineChars="200" w:firstLine="480"/>
              <w:jc w:val="both"/>
              <w:rPr>
                <w:rFonts w:ascii="標楷體" w:eastAsia="標楷體" w:hAnsi="標楷體"/>
              </w:rPr>
            </w:pPr>
            <w:r>
              <w:rPr>
                <w:rFonts w:ascii="標楷體" w:eastAsia="標楷體" w:hAnsi="標楷體" w:hint="eastAsia"/>
              </w:rPr>
              <w:t>本中心對申請出具同意函之案件，依據前條所列各項文件進行審查，並得視情況請發行人提供相關補充資料及</w:t>
            </w:r>
            <w:r>
              <w:rPr>
                <w:rFonts w:ascii="標楷體" w:eastAsia="標楷體" w:hAnsi="標楷體" w:hint="eastAsia"/>
              </w:rPr>
              <w:lastRenderedPageBreak/>
              <w:t>說明，經審查合格者，即出具同意函並副知主管機關。</w:t>
            </w:r>
          </w:p>
          <w:p w:rsidR="00981035" w:rsidRDefault="00981035" w:rsidP="00981035">
            <w:pPr>
              <w:ind w:leftChars="100" w:left="240" w:firstLineChars="200" w:firstLine="480"/>
              <w:jc w:val="both"/>
              <w:rPr>
                <w:rFonts w:ascii="標楷體" w:eastAsia="標楷體" w:hAnsi="標楷體"/>
              </w:rPr>
            </w:pPr>
            <w:r>
              <w:rPr>
                <w:rFonts w:ascii="標楷體" w:eastAsia="標楷體" w:hAnsi="標楷體" w:hint="eastAsia"/>
                <w:color w:val="FF0000"/>
                <w:szCs w:val="24"/>
                <w:u w:val="single"/>
              </w:rPr>
              <w:t>發行人應自本中心函知之日起六個月內向主管機關申請核准或申報生效該基金之募集。如有正當理由於期限屆滿前申請延期，經本中心同意後，得延長六個月，且以一次為限，並報請主管機關備查。</w:t>
            </w:r>
          </w:p>
        </w:tc>
        <w:tc>
          <w:tcPr>
            <w:tcW w:w="3548" w:type="dxa"/>
          </w:tcPr>
          <w:p w:rsidR="00981035" w:rsidRDefault="00981035" w:rsidP="00981035">
            <w:pPr>
              <w:widowControl/>
              <w:ind w:left="240" w:hangingChars="100" w:hanging="240"/>
              <w:jc w:val="both"/>
              <w:rPr>
                <w:rFonts w:ascii="標楷體" w:eastAsia="標楷體" w:hAnsi="標楷體"/>
              </w:rPr>
            </w:pPr>
            <w:r>
              <w:rPr>
                <w:rFonts w:ascii="標楷體" w:eastAsia="標楷體" w:hAnsi="標楷體" w:hint="eastAsia"/>
              </w:rPr>
              <w:lastRenderedPageBreak/>
              <w:t>第四條　發行人申請上櫃指數股票型基金之標的指數非屬本中心自行編製或非屬本中心與其他機構合編者，應於向主管機關申請核准或申報生效該基金之募集前，填具同意函申請書如附件，並檢具下列文件，於繳納指數審查費後，向本中心申請同意函：</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一、</w:t>
            </w:r>
            <w:r>
              <w:rPr>
                <w:rFonts w:ascii="標楷體" w:eastAsia="標楷體" w:hAnsi="標楷體" w:hint="eastAsia"/>
              </w:rPr>
              <w:tab/>
              <w:t>與指數編製機構簽訂之指數授權契約或意向書影本。</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二、</w:t>
            </w:r>
            <w:r>
              <w:rPr>
                <w:rFonts w:ascii="標楷體" w:eastAsia="標楷體" w:hAnsi="標楷體" w:hint="eastAsia"/>
              </w:rPr>
              <w:tab/>
              <w:t>該指數編製機構符合本注意事項第二條規定之證明書件。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三、</w:t>
            </w:r>
            <w:r>
              <w:rPr>
                <w:rFonts w:ascii="標楷體" w:eastAsia="標楷體" w:hAnsi="標楷體" w:hint="eastAsia"/>
              </w:rPr>
              <w:tab/>
              <w:t>該標的指數之成分符合本注意事項第三條規定之證明書件。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四、</w:t>
            </w:r>
            <w:r>
              <w:rPr>
                <w:rFonts w:ascii="標楷體" w:eastAsia="標楷體" w:hAnsi="標楷體" w:hint="eastAsia"/>
              </w:rPr>
              <w:tab/>
              <w:t>標的指數成分之流動性分析及相關參考文件。</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五、</w:t>
            </w:r>
            <w:r>
              <w:rPr>
                <w:rFonts w:ascii="標楷體" w:eastAsia="標楷體" w:hAnsi="標楷體" w:hint="eastAsia"/>
              </w:rPr>
              <w:tab/>
              <w:t>標的指數詳細之計算方法與依據，以及標的指數成分的採納及替換原則。</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六、</w:t>
            </w:r>
            <w:r>
              <w:rPr>
                <w:rFonts w:ascii="標楷體" w:eastAsia="標楷體" w:hAnsi="標楷體" w:hint="eastAsia"/>
              </w:rPr>
              <w:tab/>
              <w:t>標的指數最近至少一年以上之歷史資料。</w:t>
            </w:r>
          </w:p>
          <w:p w:rsidR="00981035" w:rsidRDefault="00981035" w:rsidP="00981035">
            <w:pPr>
              <w:tabs>
                <w:tab w:val="left" w:pos="746"/>
              </w:tabs>
              <w:ind w:leftChars="100" w:left="720" w:hangingChars="200" w:hanging="480"/>
              <w:jc w:val="both"/>
              <w:rPr>
                <w:rFonts w:ascii="標楷體" w:eastAsia="標楷體" w:hAnsi="標楷體"/>
              </w:rPr>
            </w:pPr>
            <w:r>
              <w:rPr>
                <w:rFonts w:ascii="標楷體" w:eastAsia="標楷體" w:hAnsi="標楷體" w:hint="eastAsia"/>
              </w:rPr>
              <w:t>七、</w:t>
            </w:r>
            <w:r>
              <w:rPr>
                <w:rFonts w:ascii="標楷體" w:eastAsia="標楷體" w:hAnsi="標楷體" w:hint="eastAsia"/>
              </w:rPr>
              <w:tab/>
              <w:t>未來上櫃後，所有可供我國投資人取得該指數相關資訊之管道，以及相關資訊之內容。</w:t>
            </w:r>
          </w:p>
          <w:p w:rsidR="00981035" w:rsidRDefault="00981035" w:rsidP="00981035">
            <w:pPr>
              <w:ind w:leftChars="100" w:left="240" w:firstLineChars="200" w:firstLine="480"/>
              <w:jc w:val="both"/>
              <w:rPr>
                <w:rFonts w:ascii="標楷體" w:eastAsia="標楷體" w:hAnsi="標楷體"/>
              </w:rPr>
            </w:pPr>
            <w:r>
              <w:rPr>
                <w:rFonts w:ascii="標楷體" w:eastAsia="標楷體" w:hAnsi="標楷體" w:hint="eastAsia"/>
              </w:rPr>
              <w:t>本中心對申請出具同意函之案件，依據前條所列各項文件進行審查，並得視情況請發行人提供相關補充資料及</w:t>
            </w:r>
            <w:r>
              <w:rPr>
                <w:rFonts w:ascii="標楷體" w:eastAsia="標楷體" w:hAnsi="標楷體" w:hint="eastAsia"/>
              </w:rPr>
              <w:lastRenderedPageBreak/>
              <w:t>說明，經審查合格者，即出具同意函並副知主管機關。</w:t>
            </w:r>
          </w:p>
          <w:p w:rsidR="00531159" w:rsidRDefault="00531159" w:rsidP="00981035">
            <w:pPr>
              <w:ind w:leftChars="100" w:left="240" w:firstLineChars="200" w:firstLine="480"/>
              <w:jc w:val="both"/>
              <w:rPr>
                <w:rFonts w:ascii="標楷體" w:eastAsia="標楷體" w:hAnsi="標楷體"/>
              </w:rPr>
            </w:pPr>
            <w:r w:rsidRPr="00531159">
              <w:rPr>
                <w:rFonts w:ascii="標楷體" w:eastAsia="標楷體" w:hAnsi="標楷體" w:hint="eastAsia"/>
                <w:color w:val="FF0000"/>
              </w:rPr>
              <w:t>(本項新增)</w:t>
            </w:r>
          </w:p>
        </w:tc>
        <w:tc>
          <w:tcPr>
            <w:tcW w:w="3047" w:type="dxa"/>
          </w:tcPr>
          <w:p w:rsidR="00981035" w:rsidRDefault="00981035" w:rsidP="00981035">
            <w:pPr>
              <w:tabs>
                <w:tab w:val="left" w:pos="489"/>
              </w:tabs>
              <w:jc w:val="both"/>
              <w:rPr>
                <w:rFonts w:ascii="標楷體" w:eastAsia="標楷體" w:hAnsi="標楷體"/>
              </w:rPr>
            </w:pPr>
            <w:r>
              <w:rPr>
                <w:rFonts w:ascii="標楷體" w:eastAsia="標楷體" w:hAnsi="標楷體" w:hint="eastAsia"/>
                <w:bCs/>
              </w:rPr>
              <w:lastRenderedPageBreak/>
              <w:t>為使發行人募集上櫃ETF更符合市</w:t>
            </w:r>
            <w:proofErr w:type="gramStart"/>
            <w:r>
              <w:rPr>
                <w:rFonts w:ascii="標楷體" w:eastAsia="標楷體" w:hAnsi="標楷體" w:hint="eastAsia"/>
                <w:bCs/>
              </w:rPr>
              <w:t>況</w:t>
            </w:r>
            <w:proofErr w:type="gramEnd"/>
            <w:r>
              <w:rPr>
                <w:rFonts w:ascii="標楷體" w:eastAsia="標楷體" w:hAnsi="標楷體" w:hint="eastAsia"/>
                <w:bCs/>
              </w:rPr>
              <w:t>，</w:t>
            </w:r>
            <w:proofErr w:type="gramStart"/>
            <w:r>
              <w:rPr>
                <w:rFonts w:ascii="標楷體" w:eastAsia="標楷體" w:hAnsi="標楷體" w:hint="eastAsia"/>
                <w:bCs/>
              </w:rPr>
              <w:t>爰</w:t>
            </w:r>
            <w:proofErr w:type="gramEnd"/>
            <w:r>
              <w:rPr>
                <w:rFonts w:ascii="標楷體" w:eastAsia="標楷體" w:hAnsi="標楷體" w:hint="eastAsia"/>
                <w:bCs/>
              </w:rPr>
              <w:t>參照「證券投資信託事業募集證券投資信託基金處理準則」第七條及本中心「證券商營業處所買賣有價證券審查準則」第十二條規定，增訂第3項，明訂發行人</w:t>
            </w:r>
            <w:r>
              <w:rPr>
                <w:rFonts w:ascii="標楷體" w:eastAsia="標楷體" w:hAnsi="標楷體" w:cs="細明體" w:hint="eastAsia"/>
              </w:rPr>
              <w:t>應自本中心同意函發文日起六個月內向主管機關</w:t>
            </w:r>
            <w:r>
              <w:rPr>
                <w:rFonts w:ascii="標楷體" w:eastAsia="標楷體" w:hAnsi="標楷體" w:hint="eastAsia"/>
              </w:rPr>
              <w:t>申請核准或申報生效該基金之募集</w:t>
            </w:r>
            <w:r>
              <w:rPr>
                <w:rFonts w:ascii="標楷體" w:eastAsia="標楷體" w:hAnsi="標楷體" w:hint="eastAsia"/>
                <w:bCs/>
              </w:rPr>
              <w:t>，</w:t>
            </w:r>
            <w:r>
              <w:rPr>
                <w:rFonts w:ascii="標楷體" w:eastAsia="標楷體" w:hAnsi="標楷體" w:hint="eastAsia"/>
              </w:rPr>
              <w:t>如有正當理由於期限屆滿前申請延期，經本中心同意後，得延長六個月</w:t>
            </w:r>
            <w:r>
              <w:rPr>
                <w:rFonts w:ascii="標楷體" w:eastAsia="標楷體" w:hAnsi="標楷體" w:hint="eastAsia"/>
                <w:bCs/>
              </w:rPr>
              <w:t>。</w:t>
            </w:r>
          </w:p>
          <w:p w:rsidR="00981035" w:rsidRPr="00981035" w:rsidRDefault="00981035" w:rsidP="00981035">
            <w:pPr>
              <w:pStyle w:val="a4"/>
              <w:ind w:leftChars="0" w:left="0"/>
              <w:jc w:val="both"/>
              <w:rPr>
                <w:rFonts w:ascii="標楷體" w:eastAsia="標楷體" w:hAnsi="標楷體"/>
                <w:kern w:val="0"/>
                <w:szCs w:val="24"/>
              </w:rPr>
            </w:pPr>
          </w:p>
        </w:tc>
      </w:tr>
    </w:tbl>
    <w:p w:rsidR="00750B66" w:rsidRDefault="00750B66" w:rsidP="00750B66">
      <w:pPr>
        <w:widowControl/>
      </w:pPr>
    </w:p>
    <w:p w:rsidR="00750B66" w:rsidRDefault="00750B66">
      <w:pPr>
        <w:widowControl/>
      </w:pPr>
      <w:bookmarkStart w:id="1" w:name="_GoBack"/>
      <w:bookmarkEnd w:id="1"/>
    </w:p>
    <w:sectPr w:rsidR="00750B66"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A5" w:rsidRDefault="001454A5" w:rsidP="00C10973">
      <w:r>
        <w:separator/>
      </w:r>
    </w:p>
  </w:endnote>
  <w:endnote w:type="continuationSeparator" w:id="0">
    <w:p w:rsidR="001454A5" w:rsidRDefault="001454A5"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C7765F" w:rsidRPr="00C7765F">
      <w:rPr>
        <w:noProof/>
        <w:lang w:val="zh-TW"/>
      </w:rPr>
      <w:t>1</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A5" w:rsidRDefault="001454A5" w:rsidP="00C10973">
      <w:r>
        <w:separator/>
      </w:r>
    </w:p>
  </w:footnote>
  <w:footnote w:type="continuationSeparator" w:id="0">
    <w:p w:rsidR="001454A5" w:rsidRDefault="001454A5"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5BDD"/>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54A5"/>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03E1"/>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555"/>
    <w:rsid w:val="00774BA6"/>
    <w:rsid w:val="00775325"/>
    <w:rsid w:val="00775518"/>
    <w:rsid w:val="00776D33"/>
    <w:rsid w:val="007804D8"/>
    <w:rsid w:val="007811BD"/>
    <w:rsid w:val="00781515"/>
    <w:rsid w:val="007817B3"/>
    <w:rsid w:val="007821FB"/>
    <w:rsid w:val="007854E2"/>
    <w:rsid w:val="00787BB9"/>
    <w:rsid w:val="00787CDA"/>
    <w:rsid w:val="00787CF5"/>
    <w:rsid w:val="00790714"/>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1766"/>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3F5"/>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7765F"/>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583"/>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3F90"/>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120"/>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393C-EE32-4B3B-86E4-3A3EA006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1733</Characters>
  <Application>Microsoft Office Word</Application>
  <DocSecurity>0</DocSecurity>
  <Lines>14</Lines>
  <Paragraphs>4</Paragraphs>
  <ScaleCrop>false</ScaleCrop>
  <Company>Hewlett-Packard Company</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3</cp:revision>
  <cp:lastPrinted>2018-07-26T08:23:00Z</cp:lastPrinted>
  <dcterms:created xsi:type="dcterms:W3CDTF">2018-08-07T06:44:00Z</dcterms:created>
  <dcterms:modified xsi:type="dcterms:W3CDTF">2018-08-07T06:49:00Z</dcterms:modified>
</cp:coreProperties>
</file>