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55" w:rsidRDefault="00993B55" w:rsidP="00993B55">
      <w:pPr>
        <w:pStyle w:val="a7"/>
        <w:rPr>
          <w:rFonts w:ascii="新細明體" w:hAnsi="新細明體"/>
          <w:color w:val="FF6600"/>
        </w:rPr>
      </w:pPr>
    </w:p>
    <w:p w:rsidR="00993B55" w:rsidRDefault="004D4E2A" w:rsidP="00993B55">
      <w:pPr>
        <w:pStyle w:val="a7"/>
        <w:rPr>
          <w:rFonts w:ascii="新細明體" w:hAnsi="新細明體"/>
          <w:color w:val="FF6600"/>
        </w:rPr>
      </w:pPr>
      <w:r w:rsidRPr="004D4E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8" type="#_x0000_t202" style="position:absolute;margin-left:162.05pt;margin-top:12.75pt;width:158.2pt;height:29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2/PwIAAFI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Ng0BAsml&#10;rvbArNX9kMNSgtBo+xGjFga8wO7DlliGkXihoDvz4XgcNiIq48lZ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HTIzb8/AgAAUgQAAA4AAAAA&#10;AAAAAAAAAAAALgIAAGRycy9lMm9Eb2MueG1sUEsBAi0AFAAGAAgAAAAhAP0vMtbbAAAABQEAAA8A&#10;AAAAAAAAAAAAAAAAmQQAAGRycy9kb3ducmV2LnhtbFBLBQYAAAAABAAEAPMAAAChBQAAAAA=&#10;">
            <v:textbox>
              <w:txbxContent>
                <w:p w:rsidR="00993B55" w:rsidRPr="00DA75FC" w:rsidRDefault="00993B55" w:rsidP="00993B5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DA75FC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公司概況資料表</w:t>
                  </w:r>
                </w:p>
              </w:txbxContent>
            </v:textbox>
          </v:shape>
        </w:pict>
      </w:r>
      <w:r w:rsidR="00993B55">
        <w:rPr>
          <w:rFonts w:ascii="新細明體" w:hAnsi="新細明體" w:hint="eastAsia"/>
          <w:noProof/>
          <w:color w:val="FF6600"/>
        </w:rPr>
        <w:drawing>
          <wp:inline distT="0" distB="0" distL="0" distR="0">
            <wp:extent cx="6124575" cy="704850"/>
            <wp:effectExtent l="19050" t="0" r="9525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55" w:rsidRPr="00A261B6" w:rsidRDefault="00993B55" w:rsidP="00993B55">
      <w:pPr>
        <w:rPr>
          <w:rFonts w:eastAsia="標楷體"/>
          <w:b/>
          <w:bCs/>
          <w:color w:val="0000FF"/>
          <w:szCs w:val="20"/>
        </w:rPr>
      </w:pPr>
      <w:r w:rsidRPr="00A261B6">
        <w:rPr>
          <w:rFonts w:eastAsia="標楷體" w:hAnsi="標楷體"/>
          <w:b/>
          <w:bCs/>
          <w:color w:val="0000FF"/>
          <w:szCs w:val="20"/>
        </w:rPr>
        <w:t>以下資料</w:t>
      </w:r>
      <w:proofErr w:type="gramStart"/>
      <w:r w:rsidRPr="00A261B6">
        <w:rPr>
          <w:rFonts w:eastAsia="標楷體" w:hAnsi="標楷體"/>
          <w:b/>
          <w:bCs/>
          <w:color w:val="0000FF"/>
          <w:szCs w:val="20"/>
        </w:rPr>
        <w:t>由</w:t>
      </w:r>
      <w:r>
        <w:rPr>
          <w:rFonts w:eastAsia="標楷體" w:hint="eastAsia"/>
          <w:b/>
          <w:bCs/>
          <w:color w:val="0000FF"/>
          <w:szCs w:val="20"/>
        </w:rPr>
        <w:t>生控基因</w:t>
      </w:r>
      <w:proofErr w:type="gramEnd"/>
      <w:r>
        <w:rPr>
          <w:rFonts w:eastAsia="標楷體" w:hint="eastAsia"/>
          <w:b/>
          <w:bCs/>
          <w:color w:val="0000FF"/>
          <w:szCs w:val="20"/>
        </w:rPr>
        <w:t>疫苗股份有限</w:t>
      </w:r>
      <w:r w:rsidRPr="00A261B6">
        <w:rPr>
          <w:rFonts w:eastAsia="標楷體" w:hAnsi="標楷體"/>
          <w:b/>
          <w:bCs/>
          <w:color w:val="0000FF"/>
          <w:szCs w:val="20"/>
        </w:rPr>
        <w:t>公司</w:t>
      </w:r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Pr="00A261B6">
        <w:rPr>
          <w:rFonts w:eastAsia="標楷體" w:hAnsi="標楷體"/>
          <w:b/>
          <w:bCs/>
          <w:color w:val="0000FF"/>
          <w:szCs w:val="20"/>
        </w:rPr>
        <w:t>提供，資料若有錯誤、遺漏或虛偽不實，</w:t>
      </w:r>
      <w:proofErr w:type="gramStart"/>
      <w:r w:rsidRPr="00A261B6">
        <w:rPr>
          <w:rFonts w:eastAsia="標楷體" w:hAnsi="標楷體"/>
          <w:b/>
          <w:bCs/>
          <w:color w:val="0000FF"/>
          <w:szCs w:val="20"/>
        </w:rPr>
        <w:t>均由該</w:t>
      </w:r>
      <w:proofErr w:type="gramEnd"/>
      <w:r w:rsidRPr="00A261B6">
        <w:rPr>
          <w:rFonts w:eastAsia="標楷體" w:hAnsi="標楷體"/>
          <w:b/>
          <w:bCs/>
          <w:color w:val="0000FF"/>
          <w:szCs w:val="20"/>
        </w:rPr>
        <w:t>公司</w:t>
      </w:r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Pr="00A261B6">
        <w:rPr>
          <w:rFonts w:eastAsia="標楷體" w:hAnsi="標楷體"/>
          <w:b/>
          <w:bCs/>
          <w:color w:val="0000FF"/>
          <w:szCs w:val="20"/>
        </w:rPr>
        <w:t>負責。</w:t>
      </w:r>
    </w:p>
    <w:p w:rsidR="00993B55" w:rsidRPr="00A261B6" w:rsidRDefault="00993B55" w:rsidP="00993B55">
      <w:pPr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</w:pPr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</w:t>
      </w:r>
      <w:proofErr w:type="gramStart"/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登錄興櫃公司</w:t>
      </w:r>
      <w:proofErr w:type="gramEnd"/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與其推薦證券商依認購當時綜合考量各種因素後所議定。</w:t>
      </w:r>
      <w:proofErr w:type="gramStart"/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由於興櫃公司</w:t>
      </w:r>
      <w:proofErr w:type="gramEnd"/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財務業務狀況及資本市場將隨時空而變動，投資人切勿以上開資訊作為投資判斷之唯一依據，</w:t>
      </w:r>
      <w:proofErr w:type="gramStart"/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務</w:t>
      </w:r>
      <w:proofErr w:type="gramEnd"/>
      <w:r w:rsidRPr="00A261B6">
        <w:rPr>
          <w:rFonts w:eastAsia="標楷體" w:hAnsi="標楷體"/>
          <w:b/>
          <w:bCs/>
          <w:color w:val="FF0000"/>
          <w:szCs w:val="20"/>
          <w:u w:val="single"/>
          <w:shd w:val="pct15" w:color="auto" w:fill="FFFFFF"/>
        </w:rPr>
        <w:t>請特別注意</w:t>
      </w:r>
    </w:p>
    <w:p w:rsidR="00993B55" w:rsidRPr="00A261B6" w:rsidRDefault="004D4E2A" w:rsidP="00993B55">
      <w:pPr>
        <w:tabs>
          <w:tab w:val="left" w:pos="1125"/>
        </w:tabs>
        <w:rPr>
          <w:rFonts w:eastAsia="標楷體"/>
          <w:b/>
          <w:bCs/>
          <w:color w:val="FF6600"/>
          <w:sz w:val="20"/>
          <w:szCs w:val="20"/>
        </w:rPr>
      </w:pPr>
      <w:r w:rsidRPr="004D4E2A">
        <w:rPr>
          <w:rFonts w:eastAsia="標楷體"/>
          <w:b/>
          <w:bCs/>
          <w:noProof/>
          <w:color w:val="FF6600"/>
        </w:rPr>
        <w:pict>
          <v:shape id="_x0000_s1026" type="#_x0000_t202" style="position:absolute;margin-left:0;margin-top:13.85pt;width:480.75pt;height:97.5pt;z-index:-251656192" fillcolor="#fffbed" stroked="f">
            <v:textbox style="mso-next-textbox:#_x0000_s1026">
              <w:txbxContent>
                <w:p w:rsidR="00993B55" w:rsidRDefault="00993B55" w:rsidP="00993B55">
                  <w:pPr>
                    <w:pStyle w:val="Web"/>
                    <w:widowControl w:val="0"/>
                    <w:spacing w:before="0" w:beforeAutospacing="0" w:after="0" w:afterAutospacing="0"/>
                    <w:rPr>
                      <w:rFonts w:ascii="Times New Roman" w:eastAsia="新細明體" w:hAnsi="Times New Roman" w:cs="Times New Roman"/>
                      <w:kern w:val="2"/>
                      <w:szCs w:val="20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2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93B55" w:rsidRPr="00A261B6" w:rsidRDefault="00993B55" w:rsidP="00993B55">
      <w:pPr>
        <w:rPr>
          <w:rFonts w:eastAsia="標楷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rFonts w:eastAsia="標楷體"/>
          <w:noProof/>
          <w:color w:val="FF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12" name="圖片 5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" name="圖片 6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1B6">
        <w:rPr>
          <w:rFonts w:eastAsia="標楷體"/>
          <w:b/>
          <w:bCs/>
          <w:color w:val="FF6600"/>
          <w:sz w:val="20"/>
          <w:szCs w:val="20"/>
        </w:rPr>
        <w:t xml:space="preserve">   </w:t>
      </w:r>
      <w:r w:rsidRPr="00A261B6">
        <w:rPr>
          <w:rFonts w:eastAsia="標楷體" w:hAnsi="標楷體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993B55" w:rsidRPr="00A261B6" w:rsidRDefault="00993B55" w:rsidP="00993B55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7" name="圖片 7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1B6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公司簡介</w:t>
        </w:r>
      </w:hyperlink>
    </w:p>
    <w:p w:rsidR="00993B55" w:rsidRPr="00A261B6" w:rsidRDefault="00993B55" w:rsidP="00993B55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13" name="圖片 13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1B6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主要業務項目</w:t>
        </w:r>
      </w:hyperlink>
    </w:p>
    <w:p w:rsidR="00993B55" w:rsidRPr="00A261B6" w:rsidRDefault="00993B55" w:rsidP="00993B55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8" name="圖片 8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1B6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五</w:t>
        </w:r>
        <w:proofErr w:type="gramEnd"/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年度簡明損益表及申請年度截至最近月份止之自結損益表</w:t>
        </w:r>
      </w:hyperlink>
    </w:p>
    <w:p w:rsidR="00993B55" w:rsidRPr="00A261B6" w:rsidRDefault="00993B55" w:rsidP="00993B55">
      <w:pPr>
        <w:rPr>
          <w:rFonts w:eastAsia="標楷體"/>
          <w:b/>
          <w:bCs/>
          <w:color w:val="FF6600"/>
          <w:sz w:val="20"/>
          <w:szCs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19050" t="0" r="0" b="0"/>
            <wp:wrapNone/>
            <wp:docPr id="10" name="圖片 10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1B6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五</w:t>
        </w:r>
        <w:proofErr w:type="gramEnd"/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年度簡明資產負債表</w:t>
        </w:r>
      </w:hyperlink>
    </w:p>
    <w:p w:rsidR="00993B55" w:rsidRPr="00A261B6" w:rsidRDefault="00993B55" w:rsidP="00993B55">
      <w:pPr>
        <w:rPr>
          <w:rFonts w:eastAsia="標楷體"/>
          <w:b/>
          <w:bCs/>
          <w:color w:val="FF6600"/>
          <w:sz w:val="20"/>
        </w:rPr>
      </w:pPr>
      <w:r>
        <w:rPr>
          <w:rFonts w:eastAsia="標楷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19050" t="0" r="0" b="0"/>
            <wp:wrapNone/>
            <wp:docPr id="11" name="圖片 11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1B6">
        <w:rPr>
          <w:rFonts w:eastAsia="標楷體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最近</w:t>
        </w:r>
        <w:proofErr w:type="gramStart"/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三</w:t>
        </w:r>
        <w:proofErr w:type="gramEnd"/>
        <w:r w:rsidRPr="00A261B6">
          <w:rPr>
            <w:rStyle w:val="a6"/>
            <w:rFonts w:eastAsia="標楷體" w:hAnsi="標楷體"/>
            <w:b/>
            <w:bCs/>
            <w:color w:val="FF6600"/>
            <w:sz w:val="20"/>
            <w:szCs w:val="20"/>
          </w:rPr>
          <w:t>年度財務比率</w:t>
        </w:r>
      </w:hyperlink>
    </w:p>
    <w:p w:rsidR="00993B55" w:rsidRPr="00A261B6" w:rsidRDefault="00993B55" w:rsidP="00993B55">
      <w:pPr>
        <w:rPr>
          <w:rFonts w:eastAsia="標楷體"/>
          <w:b/>
          <w:bCs/>
          <w:sz w:val="20"/>
        </w:rPr>
      </w:pPr>
    </w:p>
    <w:p w:rsidR="00993B55" w:rsidRPr="00A261B6" w:rsidRDefault="00993B55" w:rsidP="00993B55">
      <w:pPr>
        <w:rPr>
          <w:rFonts w:eastAsia="標楷體"/>
          <w:b/>
          <w:bCs/>
          <w:sz w:val="20"/>
        </w:rPr>
      </w:pPr>
      <w:r w:rsidRPr="00A261B6">
        <w:rPr>
          <w:rFonts w:eastAsia="標楷體" w:hAnsi="標楷體"/>
          <w:b/>
          <w:bCs/>
          <w:sz w:val="20"/>
        </w:rPr>
        <w:t>公司名稱：</w:t>
      </w:r>
      <w:proofErr w:type="gramStart"/>
      <w:r>
        <w:rPr>
          <w:rFonts w:eastAsia="標楷體" w:hint="eastAsia"/>
          <w:b/>
          <w:bCs/>
          <w:color w:val="FF6600"/>
          <w:sz w:val="20"/>
        </w:rPr>
        <w:t>生控基因</w:t>
      </w:r>
      <w:proofErr w:type="gramEnd"/>
      <w:r>
        <w:rPr>
          <w:rFonts w:eastAsia="標楷體" w:hint="eastAsia"/>
          <w:b/>
          <w:bCs/>
          <w:color w:val="FF6600"/>
          <w:sz w:val="20"/>
        </w:rPr>
        <w:t>疫苗</w:t>
      </w:r>
      <w:r w:rsidRPr="00A261B6">
        <w:rPr>
          <w:rFonts w:eastAsia="標楷體" w:hAnsi="標楷體"/>
          <w:b/>
          <w:bCs/>
          <w:color w:val="FF6600"/>
          <w:sz w:val="20"/>
        </w:rPr>
        <w:t>股份有限公司</w:t>
      </w:r>
      <w:r w:rsidRPr="00A261B6">
        <w:rPr>
          <w:rFonts w:eastAsia="標楷體"/>
          <w:b/>
          <w:bCs/>
          <w:sz w:val="20"/>
        </w:rPr>
        <w:t xml:space="preserve"> (</w:t>
      </w:r>
      <w:r w:rsidRPr="00A261B6">
        <w:rPr>
          <w:rFonts w:eastAsia="標楷體" w:hAnsi="標楷體"/>
          <w:b/>
          <w:bCs/>
          <w:sz w:val="20"/>
        </w:rPr>
        <w:t>股票代號：</w:t>
      </w:r>
      <w:r>
        <w:rPr>
          <w:rFonts w:eastAsia="標楷體" w:hint="eastAsia"/>
          <w:b/>
          <w:bCs/>
          <w:sz w:val="20"/>
        </w:rPr>
        <w:t>6567</w:t>
      </w:r>
      <w:r w:rsidRPr="00A261B6">
        <w:rPr>
          <w:rFonts w:eastAsia="標楷體"/>
          <w:b/>
          <w:bCs/>
          <w:sz w:val="20"/>
        </w:rPr>
        <w:t>)</w:t>
      </w:r>
    </w:p>
    <w:p w:rsidR="00993B55" w:rsidRPr="00A261B6" w:rsidRDefault="00993B55" w:rsidP="00993B55">
      <w:pPr>
        <w:jc w:val="both"/>
        <w:rPr>
          <w:rFonts w:eastAsia="標楷體"/>
        </w:rPr>
      </w:pPr>
      <w:bookmarkStart w:id="1" w:name="基本資料"/>
      <w:bookmarkEnd w:id="1"/>
      <w:r w:rsidRPr="00A261B6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0"/>
        <w:gridCol w:w="6988"/>
      </w:tblGrid>
      <w:tr w:rsidR="00993B55" w:rsidRPr="00A261B6" w:rsidTr="0057500E">
        <w:trPr>
          <w:cantSplit/>
        </w:trPr>
        <w:tc>
          <w:tcPr>
            <w:tcW w:w="2580" w:type="dxa"/>
            <w:shd w:val="clear" w:color="auto" w:fill="F9F9F9"/>
          </w:tcPr>
          <w:p w:rsidR="00993B55" w:rsidRPr="00A261B6" w:rsidRDefault="00993B55" w:rsidP="0057500E">
            <w:pPr>
              <w:rPr>
                <w:rFonts w:eastAsia="標楷體"/>
                <w:sz w:val="20"/>
              </w:rPr>
            </w:pPr>
            <w:r w:rsidRPr="00A261B6">
              <w:rPr>
                <w:rFonts w:eastAsia="標楷體" w:hAnsi="標楷體"/>
                <w:sz w:val="20"/>
              </w:rPr>
              <w:t>輔導推薦證券商</w:t>
            </w:r>
          </w:p>
        </w:tc>
        <w:tc>
          <w:tcPr>
            <w:tcW w:w="6988" w:type="dxa"/>
          </w:tcPr>
          <w:p w:rsidR="00993B55" w:rsidRPr="00A261B6" w:rsidRDefault="00993B55" w:rsidP="0057500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日盛證券股份有限公司、</w:t>
            </w:r>
            <w:r w:rsidRPr="00A4187A">
              <w:rPr>
                <w:rFonts w:eastAsia="標楷體" w:hAnsi="標楷體" w:hint="eastAsia"/>
              </w:rPr>
              <w:t>大眾綜合</w:t>
            </w:r>
            <w:r w:rsidRPr="00A4187A">
              <w:rPr>
                <w:rFonts w:eastAsia="標楷體" w:hAnsi="標楷體"/>
              </w:rPr>
              <w:t>證券</w:t>
            </w:r>
            <w:r>
              <w:rPr>
                <w:rFonts w:eastAsia="標楷體" w:hint="eastAsia"/>
              </w:rPr>
              <w:t>股份有限公司、</w:t>
            </w:r>
            <w:r w:rsidRPr="00A4187A">
              <w:rPr>
                <w:rFonts w:eastAsia="標楷體" w:hAnsi="標楷體" w:hint="eastAsia"/>
              </w:rPr>
              <w:t>國票綜合</w:t>
            </w:r>
            <w:r w:rsidRPr="00A4187A">
              <w:rPr>
                <w:rFonts w:eastAsia="標楷體" w:hAnsi="標楷體"/>
              </w:rPr>
              <w:t>證券</w:t>
            </w:r>
            <w:r>
              <w:rPr>
                <w:rFonts w:eastAsia="標楷體" w:hint="eastAsia"/>
              </w:rPr>
              <w:t>股份有限公司、</w:t>
            </w:r>
            <w:r w:rsidRPr="00A4187A">
              <w:rPr>
                <w:rFonts w:eastAsia="標楷體" w:hAnsi="標楷體" w:hint="eastAsia"/>
              </w:rPr>
              <w:t>統一綜合</w:t>
            </w:r>
            <w:r w:rsidRPr="00A4187A">
              <w:rPr>
                <w:rFonts w:eastAsia="標楷體" w:hAnsi="標楷體"/>
              </w:rPr>
              <w:t>證券</w:t>
            </w:r>
            <w:r>
              <w:rPr>
                <w:rFonts w:eastAsia="標楷體" w:hint="eastAsia"/>
              </w:rPr>
              <w:t>股份有限公司</w:t>
            </w:r>
          </w:p>
        </w:tc>
      </w:tr>
      <w:tr w:rsidR="00993B55" w:rsidRPr="00A261B6" w:rsidTr="0057500E">
        <w:trPr>
          <w:cantSplit/>
        </w:trPr>
        <w:tc>
          <w:tcPr>
            <w:tcW w:w="2580" w:type="dxa"/>
            <w:shd w:val="clear" w:color="auto" w:fill="F9F9F9"/>
          </w:tcPr>
          <w:p w:rsidR="00993B55" w:rsidRPr="00A261B6" w:rsidRDefault="00993B55" w:rsidP="0057500E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A261B6">
              <w:rPr>
                <w:rFonts w:eastAsia="標楷體" w:hAnsi="標楷體"/>
                <w:color w:val="FF0000"/>
                <w:sz w:val="20"/>
                <w:szCs w:val="20"/>
              </w:rPr>
              <w:t>主辦輔導券商聯絡人電話</w:t>
            </w:r>
          </w:p>
        </w:tc>
        <w:tc>
          <w:tcPr>
            <w:tcW w:w="6988" w:type="dxa"/>
          </w:tcPr>
          <w:p w:rsidR="00993B55" w:rsidRPr="00A261B6" w:rsidRDefault="00993B55" w:rsidP="0057500E">
            <w:pPr>
              <w:rPr>
                <w:rFonts w:eastAsia="標楷體"/>
                <w:sz w:val="20"/>
              </w:rPr>
            </w:pPr>
            <w:r w:rsidRPr="00E246DE">
              <w:rPr>
                <w:rFonts w:eastAsia="標楷體" w:hAnsi="標楷體"/>
              </w:rPr>
              <w:t>日盛證券股份有限公司</w:t>
            </w:r>
            <w:r w:rsidRPr="00E246DE">
              <w:rPr>
                <w:rFonts w:eastAsia="標楷體"/>
              </w:rPr>
              <w:t xml:space="preserve"> </w:t>
            </w:r>
            <w:r w:rsidRPr="00E246DE">
              <w:rPr>
                <w:rFonts w:eastAsia="標楷體" w:hAnsi="標楷體"/>
              </w:rPr>
              <w:t>王先生</w:t>
            </w:r>
            <w:r w:rsidRPr="00E246DE">
              <w:rPr>
                <w:rFonts w:eastAsia="標楷體"/>
              </w:rPr>
              <w:t xml:space="preserve"> (02)2562-6288 #7901</w:t>
            </w:r>
          </w:p>
        </w:tc>
      </w:tr>
      <w:tr w:rsidR="00993B55" w:rsidRPr="00A261B6" w:rsidTr="0057500E">
        <w:trPr>
          <w:cantSplit/>
        </w:trPr>
        <w:tc>
          <w:tcPr>
            <w:tcW w:w="2580" w:type="dxa"/>
            <w:shd w:val="clear" w:color="auto" w:fill="F9F9F9"/>
          </w:tcPr>
          <w:p w:rsidR="00993B55" w:rsidRPr="00A261B6" w:rsidRDefault="00993B55" w:rsidP="0057500E">
            <w:pPr>
              <w:rPr>
                <w:rFonts w:eastAsia="標楷體"/>
                <w:sz w:val="20"/>
              </w:rPr>
            </w:pPr>
            <w:r w:rsidRPr="00A261B6">
              <w:rPr>
                <w:rFonts w:eastAsia="標楷體" w:hAnsi="標楷體"/>
                <w:sz w:val="20"/>
              </w:rPr>
              <w:t>註冊地國</w:t>
            </w:r>
          </w:p>
        </w:tc>
        <w:tc>
          <w:tcPr>
            <w:tcW w:w="6988" w:type="dxa"/>
          </w:tcPr>
          <w:p w:rsidR="00993B55" w:rsidRPr="00131570" w:rsidRDefault="00993B55" w:rsidP="0057500E">
            <w:pPr>
              <w:rPr>
                <w:rFonts w:eastAsia="標楷體"/>
              </w:rPr>
            </w:pPr>
            <w:r w:rsidRPr="00131570">
              <w:rPr>
                <w:rFonts w:eastAsia="標楷體"/>
              </w:rPr>
              <w:t>(</w:t>
            </w:r>
            <w:r w:rsidRPr="00131570">
              <w:rPr>
                <w:rFonts w:eastAsia="標楷體" w:hAnsi="標楷體"/>
              </w:rPr>
              <w:t>外國發行人適用</w:t>
            </w:r>
            <w:r w:rsidRPr="00131570">
              <w:rPr>
                <w:rFonts w:eastAsia="標楷體"/>
              </w:rPr>
              <w:t>)</w:t>
            </w:r>
          </w:p>
        </w:tc>
      </w:tr>
      <w:tr w:rsidR="00993B55" w:rsidRPr="00A261B6" w:rsidTr="0057500E">
        <w:trPr>
          <w:cantSplit/>
        </w:trPr>
        <w:tc>
          <w:tcPr>
            <w:tcW w:w="2580" w:type="dxa"/>
            <w:shd w:val="clear" w:color="auto" w:fill="F9F9F9"/>
          </w:tcPr>
          <w:p w:rsidR="00993B55" w:rsidRPr="00A261B6" w:rsidRDefault="00993B55" w:rsidP="0057500E">
            <w:pPr>
              <w:rPr>
                <w:rFonts w:eastAsia="標楷體"/>
                <w:sz w:val="20"/>
              </w:rPr>
            </w:pPr>
            <w:r w:rsidRPr="00A261B6">
              <w:rPr>
                <w:rFonts w:eastAsia="標楷體" w:hAnsi="標楷體"/>
                <w:sz w:val="20"/>
              </w:rPr>
              <w:t>訴訟及非</w:t>
            </w:r>
            <w:proofErr w:type="gramStart"/>
            <w:r w:rsidRPr="00A261B6">
              <w:rPr>
                <w:rFonts w:eastAsia="標楷體" w:hAnsi="標楷體"/>
                <w:sz w:val="20"/>
              </w:rPr>
              <w:t>訟</w:t>
            </w:r>
            <w:proofErr w:type="gramEnd"/>
            <w:r w:rsidRPr="00A261B6">
              <w:rPr>
                <w:rFonts w:eastAsia="標楷體" w:hAnsi="標楷體"/>
                <w:sz w:val="20"/>
              </w:rPr>
              <w:t>代理人</w:t>
            </w:r>
          </w:p>
        </w:tc>
        <w:tc>
          <w:tcPr>
            <w:tcW w:w="6988" w:type="dxa"/>
          </w:tcPr>
          <w:p w:rsidR="00993B55" w:rsidRPr="00131570" w:rsidRDefault="00993B55" w:rsidP="0057500E">
            <w:pPr>
              <w:rPr>
                <w:rFonts w:eastAsia="標楷體"/>
              </w:rPr>
            </w:pPr>
            <w:r w:rsidRPr="00131570">
              <w:rPr>
                <w:rFonts w:eastAsia="標楷體"/>
              </w:rPr>
              <w:t>(</w:t>
            </w:r>
            <w:r w:rsidRPr="00131570">
              <w:rPr>
                <w:rFonts w:eastAsia="標楷體" w:hAnsi="標楷體"/>
              </w:rPr>
              <w:t>外國發行人適用</w:t>
            </w:r>
            <w:r w:rsidRPr="00131570">
              <w:rPr>
                <w:rFonts w:eastAsia="標楷體"/>
              </w:rPr>
              <w:t>)</w:t>
            </w:r>
          </w:p>
        </w:tc>
      </w:tr>
    </w:tbl>
    <w:p w:rsidR="00993B55" w:rsidRPr="00A261B6" w:rsidRDefault="00993B55" w:rsidP="00993B55">
      <w:pPr>
        <w:jc w:val="both"/>
        <w:rPr>
          <w:rFonts w:eastAsia="標楷體"/>
        </w:rPr>
      </w:pPr>
      <w:r w:rsidRPr="00A261B6">
        <w:rPr>
          <w:rFonts w:eastAsia="標楷體"/>
        </w:rPr>
        <w:t xml:space="preserve">                                                                        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869"/>
        <w:gridCol w:w="2126"/>
        <w:gridCol w:w="1985"/>
        <w:gridCol w:w="1949"/>
      </w:tblGrid>
      <w:tr w:rsidR="00993B55" w:rsidRPr="00A261B6" w:rsidTr="0057500E">
        <w:tc>
          <w:tcPr>
            <w:tcW w:w="9746" w:type="dxa"/>
            <w:gridSpan w:val="5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輔導推薦證券商</w:t>
            </w:r>
            <w:proofErr w:type="gramStart"/>
            <w:r w:rsidRPr="00CC4C67">
              <w:rPr>
                <w:rFonts w:eastAsia="標楷體" w:hAnsi="標楷體"/>
              </w:rPr>
              <w:t>認購</w:t>
            </w:r>
            <w:r w:rsidRPr="00CC4C67">
              <w:rPr>
                <w:rFonts w:eastAsia="標楷體" w:hint="eastAsia"/>
              </w:rPr>
              <w:t>生控基因</w:t>
            </w:r>
            <w:proofErr w:type="gramEnd"/>
            <w:r w:rsidRPr="00CC4C67">
              <w:rPr>
                <w:rFonts w:eastAsia="標楷體" w:hint="eastAsia"/>
              </w:rPr>
              <w:t>疫苗股份有限</w:t>
            </w:r>
            <w:r w:rsidRPr="00CC4C67">
              <w:rPr>
                <w:rFonts w:eastAsia="標楷體" w:hAnsi="標楷體"/>
              </w:rPr>
              <w:t>公司股票之相關資訊</w:t>
            </w:r>
          </w:p>
        </w:tc>
      </w:tr>
      <w:tr w:rsidR="00993B55" w:rsidRPr="00A261B6" w:rsidTr="0057500E">
        <w:tc>
          <w:tcPr>
            <w:tcW w:w="1817" w:type="dxa"/>
            <w:vMerge w:val="restart"/>
            <w:shd w:val="clear" w:color="auto" w:fill="auto"/>
            <w:vAlign w:val="center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證券商名稱</w:t>
            </w:r>
          </w:p>
        </w:tc>
        <w:tc>
          <w:tcPr>
            <w:tcW w:w="186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主辦</w:t>
            </w:r>
          </w:p>
        </w:tc>
        <w:tc>
          <w:tcPr>
            <w:tcW w:w="2126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協辦</w:t>
            </w:r>
          </w:p>
        </w:tc>
        <w:tc>
          <w:tcPr>
            <w:tcW w:w="1985" w:type="dxa"/>
          </w:tcPr>
          <w:p w:rsidR="00993B55" w:rsidRPr="00CC4C67" w:rsidRDefault="00993B55" w:rsidP="0057500E">
            <w:pPr>
              <w:jc w:val="center"/>
              <w:rPr>
                <w:rFonts w:eastAsia="標楷體" w:hAnsi="標楷體"/>
              </w:rPr>
            </w:pPr>
            <w:r w:rsidRPr="00CC4C67">
              <w:rPr>
                <w:rFonts w:eastAsia="標楷體" w:hAnsi="標楷體"/>
              </w:rPr>
              <w:t>協辦</w:t>
            </w:r>
          </w:p>
        </w:tc>
        <w:tc>
          <w:tcPr>
            <w:tcW w:w="194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協辦</w:t>
            </w:r>
          </w:p>
        </w:tc>
      </w:tr>
      <w:tr w:rsidR="00993B55" w:rsidRPr="00A261B6" w:rsidTr="0057500E">
        <w:tc>
          <w:tcPr>
            <w:tcW w:w="1817" w:type="dxa"/>
            <w:vMerge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</w:p>
        </w:tc>
        <w:tc>
          <w:tcPr>
            <w:tcW w:w="186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日盛</w:t>
            </w:r>
            <w:r w:rsidRPr="00CC4C67">
              <w:rPr>
                <w:rFonts w:eastAsia="標楷體" w:hAnsi="標楷體"/>
              </w:rPr>
              <w:t>證券</w:t>
            </w:r>
          </w:p>
        </w:tc>
        <w:tc>
          <w:tcPr>
            <w:tcW w:w="2126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 w:hint="eastAsia"/>
              </w:rPr>
              <w:t>大眾綜合</w:t>
            </w:r>
            <w:r w:rsidRPr="00CC4C67">
              <w:rPr>
                <w:rFonts w:eastAsia="標楷體" w:hAnsi="標楷體"/>
              </w:rPr>
              <w:t>證券</w:t>
            </w:r>
          </w:p>
        </w:tc>
        <w:tc>
          <w:tcPr>
            <w:tcW w:w="1985" w:type="dxa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 w:hint="eastAsia"/>
              </w:rPr>
              <w:t>國票綜合</w:t>
            </w:r>
            <w:r w:rsidRPr="00CC4C67">
              <w:rPr>
                <w:rFonts w:eastAsia="標楷體" w:hAnsi="標楷體"/>
              </w:rPr>
              <w:t>證券</w:t>
            </w:r>
          </w:p>
        </w:tc>
        <w:tc>
          <w:tcPr>
            <w:tcW w:w="194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 w:hint="eastAsia"/>
              </w:rPr>
              <w:t>統一綜合</w:t>
            </w:r>
            <w:r w:rsidRPr="00CC4C67">
              <w:rPr>
                <w:rFonts w:eastAsia="標楷體" w:hAnsi="標楷體"/>
              </w:rPr>
              <w:t>證券</w:t>
            </w:r>
          </w:p>
        </w:tc>
      </w:tr>
      <w:tr w:rsidR="00993B55" w:rsidRPr="00A261B6" w:rsidTr="0057500E">
        <w:tc>
          <w:tcPr>
            <w:tcW w:w="1817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認購日期</w:t>
            </w:r>
          </w:p>
        </w:tc>
        <w:tc>
          <w:tcPr>
            <w:tcW w:w="7929" w:type="dxa"/>
            <w:gridSpan w:val="4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/>
              </w:rPr>
              <w:t>10</w:t>
            </w:r>
            <w:r w:rsidRPr="00CC4C67">
              <w:rPr>
                <w:rFonts w:eastAsia="標楷體" w:hint="eastAsia"/>
              </w:rPr>
              <w:t>5</w:t>
            </w:r>
            <w:r w:rsidRPr="00CC4C67">
              <w:rPr>
                <w:rFonts w:eastAsia="標楷體" w:hAnsi="標楷體"/>
              </w:rPr>
              <w:t>年</w:t>
            </w:r>
            <w:r w:rsidRPr="00CC4C67">
              <w:rPr>
                <w:rFonts w:eastAsia="標楷體"/>
              </w:rPr>
              <w:t>1</w:t>
            </w:r>
            <w:r w:rsidRPr="00CC4C67">
              <w:rPr>
                <w:rFonts w:eastAsia="標楷體" w:hAnsi="標楷體"/>
              </w:rPr>
              <w:t>月</w:t>
            </w:r>
            <w:r w:rsidRPr="00CC4C67">
              <w:rPr>
                <w:rFonts w:eastAsia="標楷體" w:hAnsi="標楷體" w:hint="eastAsia"/>
              </w:rPr>
              <w:t>19</w:t>
            </w:r>
            <w:r w:rsidRPr="00CC4C67">
              <w:rPr>
                <w:rFonts w:eastAsia="標楷體" w:hAnsi="標楷體"/>
              </w:rPr>
              <w:t>日</w:t>
            </w:r>
          </w:p>
        </w:tc>
      </w:tr>
      <w:tr w:rsidR="00993B55" w:rsidRPr="00A261B6" w:rsidTr="0057500E">
        <w:tc>
          <w:tcPr>
            <w:tcW w:w="1817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認購股數（股）</w:t>
            </w:r>
          </w:p>
        </w:tc>
        <w:tc>
          <w:tcPr>
            <w:tcW w:w="186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/>
              </w:rPr>
              <w:t>1,500,000</w:t>
            </w:r>
          </w:p>
        </w:tc>
        <w:tc>
          <w:tcPr>
            <w:tcW w:w="2126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100,000</w:t>
            </w:r>
          </w:p>
        </w:tc>
        <w:tc>
          <w:tcPr>
            <w:tcW w:w="1985" w:type="dxa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100,000</w:t>
            </w:r>
          </w:p>
        </w:tc>
        <w:tc>
          <w:tcPr>
            <w:tcW w:w="194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CC4C67">
              <w:rPr>
                <w:rFonts w:eastAsia="標楷體" w:hint="eastAsia"/>
              </w:rPr>
              <w:t>00,000</w:t>
            </w:r>
          </w:p>
        </w:tc>
      </w:tr>
      <w:tr w:rsidR="00993B55" w:rsidRPr="00A261B6" w:rsidTr="0057500E">
        <w:tc>
          <w:tcPr>
            <w:tcW w:w="1817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CC4C67">
              <w:rPr>
                <w:rFonts w:eastAsia="標楷體" w:hAnsi="標楷體"/>
              </w:rPr>
              <w:t>認購占擬櫃檯</w:t>
            </w:r>
            <w:proofErr w:type="gramEnd"/>
            <w:r w:rsidRPr="00CC4C67">
              <w:rPr>
                <w:rFonts w:eastAsia="標楷體" w:hAnsi="標楷體"/>
              </w:rPr>
              <w:t>買賣股份總數之比率</w:t>
            </w:r>
          </w:p>
        </w:tc>
        <w:tc>
          <w:tcPr>
            <w:tcW w:w="186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1.68%</w:t>
            </w:r>
          </w:p>
        </w:tc>
        <w:tc>
          <w:tcPr>
            <w:tcW w:w="2126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0.11%</w:t>
            </w:r>
          </w:p>
        </w:tc>
        <w:tc>
          <w:tcPr>
            <w:tcW w:w="1985" w:type="dxa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0.11%</w:t>
            </w:r>
          </w:p>
        </w:tc>
        <w:tc>
          <w:tcPr>
            <w:tcW w:w="1949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0.</w:t>
            </w:r>
            <w:r>
              <w:rPr>
                <w:rFonts w:eastAsia="標楷體" w:hint="eastAsia"/>
              </w:rPr>
              <w:t>11</w:t>
            </w:r>
            <w:r w:rsidRPr="00CC4C67">
              <w:rPr>
                <w:rFonts w:eastAsia="標楷體" w:hint="eastAsia"/>
              </w:rPr>
              <w:t>%</w:t>
            </w:r>
          </w:p>
        </w:tc>
      </w:tr>
      <w:tr w:rsidR="00993B55" w:rsidRPr="00A261B6" w:rsidTr="0057500E">
        <w:tc>
          <w:tcPr>
            <w:tcW w:w="1817" w:type="dxa"/>
            <w:shd w:val="clear" w:color="auto" w:fill="auto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認購價格</w:t>
            </w:r>
          </w:p>
        </w:tc>
        <w:tc>
          <w:tcPr>
            <w:tcW w:w="7929" w:type="dxa"/>
            <w:gridSpan w:val="4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 w:hint="eastAsia"/>
              </w:rPr>
              <w:t>75</w:t>
            </w:r>
            <w:r w:rsidRPr="00CC4C67">
              <w:rPr>
                <w:rFonts w:eastAsia="標楷體" w:hAnsi="標楷體" w:hint="eastAsia"/>
              </w:rPr>
              <w:t>元</w:t>
            </w:r>
          </w:p>
        </w:tc>
      </w:tr>
      <w:tr w:rsidR="00993B55" w:rsidRPr="00A261B6" w:rsidTr="0057500E">
        <w:tc>
          <w:tcPr>
            <w:tcW w:w="1817" w:type="dxa"/>
            <w:shd w:val="clear" w:color="auto" w:fill="auto"/>
            <w:vAlign w:val="center"/>
          </w:tcPr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認購價格之訂定</w:t>
            </w:r>
          </w:p>
          <w:p w:rsidR="00993B55" w:rsidRPr="00CC4C67" w:rsidRDefault="00993B55" w:rsidP="0057500E">
            <w:pPr>
              <w:jc w:val="center"/>
              <w:rPr>
                <w:rFonts w:eastAsia="標楷體"/>
              </w:rPr>
            </w:pPr>
            <w:r w:rsidRPr="00CC4C67">
              <w:rPr>
                <w:rFonts w:eastAsia="標楷體" w:hAnsi="標楷體"/>
              </w:rPr>
              <w:t>依據及方式</w:t>
            </w:r>
          </w:p>
        </w:tc>
        <w:tc>
          <w:tcPr>
            <w:tcW w:w="7929" w:type="dxa"/>
            <w:gridSpan w:val="4"/>
          </w:tcPr>
          <w:p w:rsidR="00993B55" w:rsidRPr="00CC4C67" w:rsidRDefault="00993B55" w:rsidP="0057500E">
            <w:pPr>
              <w:autoSpaceDE w:val="0"/>
              <w:autoSpaceDN w:val="0"/>
              <w:adjustRightInd w:val="0"/>
              <w:spacing w:line="360" w:lineRule="atLeas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目前證券投資分析常用之股票評價方法主要包括市價法如本益比法</w:t>
            </w:r>
            <w:r w:rsidRPr="00CC4C67">
              <w:rPr>
                <w:rFonts w:eastAsia="標楷體"/>
              </w:rPr>
              <w:t>(Price/Earnings Ratio, P/E Ratio)</w:t>
            </w:r>
            <w:r w:rsidRPr="00CC4C67">
              <w:rPr>
                <w:rFonts w:eastAsia="標楷體" w:hint="eastAsia"/>
              </w:rPr>
              <w:t>、股價淨值比法</w:t>
            </w:r>
            <w:r w:rsidRPr="00CC4C67">
              <w:rPr>
                <w:rFonts w:eastAsia="標楷體"/>
              </w:rPr>
              <w:t>(Price/Book Value Ratio, P/B Ratio)</w:t>
            </w:r>
            <w:r w:rsidRPr="00CC4C67">
              <w:rPr>
                <w:rFonts w:eastAsia="標楷體" w:hint="eastAsia"/>
              </w:rPr>
              <w:t>、股價營收比法</w:t>
            </w:r>
            <w:r w:rsidRPr="00CC4C67">
              <w:rPr>
                <w:rFonts w:eastAsia="標楷體"/>
              </w:rPr>
              <w:t>(Price/Sales Ratio, P/S Ratio)</w:t>
            </w:r>
            <w:r w:rsidRPr="00CC4C67">
              <w:rPr>
                <w:rFonts w:eastAsia="標楷體" w:hint="eastAsia"/>
              </w:rPr>
              <w:t>，係透過已公開的資訊，與整體市場、產業性質相近的同業及被評價公司歷史軌跡比較，作為評價企業之價值，再根據被評價公司本身異於</w:t>
            </w:r>
            <w:proofErr w:type="gramStart"/>
            <w:r w:rsidRPr="00CC4C67">
              <w:rPr>
                <w:rFonts w:eastAsia="標楷體" w:hint="eastAsia"/>
              </w:rPr>
              <w:t>採</w:t>
            </w:r>
            <w:proofErr w:type="gramEnd"/>
            <w:r w:rsidRPr="00CC4C67">
              <w:rPr>
                <w:rFonts w:eastAsia="標楷體" w:hint="eastAsia"/>
              </w:rPr>
              <w:t>樣公司之</w:t>
            </w:r>
            <w:proofErr w:type="gramStart"/>
            <w:r w:rsidRPr="00CC4C67">
              <w:rPr>
                <w:rFonts w:eastAsia="標楷體" w:hint="eastAsia"/>
              </w:rPr>
              <w:t>部分作折</w:t>
            </w:r>
            <w:proofErr w:type="gramEnd"/>
            <w:r w:rsidRPr="00CC4C67">
              <w:rPr>
                <w:rFonts w:ascii="新細明體" w:hAnsi="新細明體" w:hint="eastAsia"/>
              </w:rPr>
              <w:t>、</w:t>
            </w:r>
            <w:r w:rsidRPr="00CC4C67">
              <w:rPr>
                <w:rFonts w:eastAsia="標楷體" w:hint="eastAsia"/>
              </w:rPr>
              <w:t>溢價之調整；成本法亦稱</w:t>
            </w:r>
            <w:proofErr w:type="gramStart"/>
            <w:r w:rsidRPr="00CC4C67">
              <w:rPr>
                <w:rFonts w:eastAsia="標楷體" w:hint="eastAsia"/>
              </w:rPr>
              <w:t>帳面</w:t>
            </w:r>
            <w:proofErr w:type="gramEnd"/>
            <w:r w:rsidRPr="00CC4C67">
              <w:rPr>
                <w:rFonts w:eastAsia="標楷體" w:hint="eastAsia"/>
              </w:rPr>
              <w:t>價值法</w:t>
            </w:r>
            <w:r w:rsidRPr="00CC4C67">
              <w:rPr>
                <w:rFonts w:eastAsia="標楷體"/>
              </w:rPr>
              <w:t>(Book Value Method)</w:t>
            </w:r>
            <w:r w:rsidRPr="00CC4C67">
              <w:rPr>
                <w:rFonts w:eastAsia="標楷體" w:hint="eastAsia"/>
              </w:rPr>
              <w:t>，係以</w:t>
            </w:r>
            <w:proofErr w:type="gramStart"/>
            <w:r w:rsidRPr="00CC4C67">
              <w:rPr>
                <w:rFonts w:eastAsia="標楷體" w:hint="eastAsia"/>
              </w:rPr>
              <w:t>帳面</w:t>
            </w:r>
            <w:proofErr w:type="gramEnd"/>
            <w:r w:rsidRPr="00CC4C67">
              <w:rPr>
                <w:rFonts w:eastAsia="標楷體" w:hint="eastAsia"/>
              </w:rPr>
              <w:t>歷史成本資料作為公司價值評定之基礎；另現金流量</w:t>
            </w:r>
            <w:proofErr w:type="gramStart"/>
            <w:r w:rsidRPr="00CC4C67">
              <w:rPr>
                <w:rFonts w:eastAsia="標楷體" w:hint="eastAsia"/>
              </w:rPr>
              <w:t>折現法</w:t>
            </w:r>
            <w:proofErr w:type="gramEnd"/>
            <w:r w:rsidRPr="00CC4C67">
              <w:rPr>
                <w:rFonts w:eastAsia="標楷體"/>
              </w:rPr>
              <w:t xml:space="preserve">(Discounted Cash Flow Method, </w:t>
            </w:r>
            <w:r w:rsidRPr="00CC4C67">
              <w:rPr>
                <w:rFonts w:eastAsia="標楷體"/>
              </w:rPr>
              <w:lastRenderedPageBreak/>
              <w:t>DCF)</w:t>
            </w:r>
            <w:r w:rsidRPr="00CC4C67">
              <w:rPr>
                <w:rFonts w:eastAsia="標楷體" w:hint="eastAsia"/>
              </w:rPr>
              <w:t>則重視公司未來營運所創造之現金流入價值。</w:t>
            </w:r>
          </w:p>
          <w:p w:rsidR="00993B55" w:rsidRPr="00CC4C67" w:rsidRDefault="00993B55" w:rsidP="0057500E">
            <w:pPr>
              <w:autoSpaceDE w:val="0"/>
              <w:autoSpaceDN w:val="0"/>
              <w:adjustRightInd w:val="0"/>
              <w:spacing w:line="360" w:lineRule="atLeas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CC4C67">
              <w:rPr>
                <w:rFonts w:eastAsia="標楷體" w:hint="eastAsia"/>
              </w:rPr>
              <w:t>其中，成本法係以歷史成本為計算之基礎，易忽略通貨膨脹因素且無法反應資產實際之經濟價值，且深受財務報表所</w:t>
            </w:r>
            <w:proofErr w:type="gramStart"/>
            <w:r w:rsidRPr="00CC4C67">
              <w:rPr>
                <w:rFonts w:eastAsia="標楷體" w:hint="eastAsia"/>
              </w:rPr>
              <w:t>採</w:t>
            </w:r>
            <w:proofErr w:type="gramEnd"/>
            <w:r w:rsidRPr="00CC4C67">
              <w:rPr>
                <w:rFonts w:eastAsia="標楷體" w:hint="eastAsia"/>
              </w:rPr>
              <w:t>行之會計原則與方法之影響，將可能低估成長型公司應有之價值；現金流量</w:t>
            </w:r>
            <w:proofErr w:type="gramStart"/>
            <w:r w:rsidRPr="00CC4C67">
              <w:rPr>
                <w:rFonts w:eastAsia="標楷體" w:hint="eastAsia"/>
              </w:rPr>
              <w:t>折現法下</w:t>
            </w:r>
            <w:proofErr w:type="gramEnd"/>
            <w:r w:rsidRPr="00CC4C67">
              <w:rPr>
                <w:rFonts w:eastAsia="標楷體" w:hint="eastAsia"/>
              </w:rPr>
              <w:t>某些假設，如未來營收成長率、邊際利潤率、資本支出之假設等，在產業快速變化下對未來之預估甚難準確，使未來現金流量及加權平均資金成本更無法精確掌握，故本次輔導推薦證券商</w:t>
            </w:r>
            <w:proofErr w:type="gramStart"/>
            <w:r w:rsidRPr="00CC4C67">
              <w:rPr>
                <w:rFonts w:eastAsia="標楷體" w:hint="eastAsia"/>
              </w:rPr>
              <w:t>認購</w:t>
            </w:r>
            <w:r w:rsidRPr="00CC4C67">
              <w:rPr>
                <w:rFonts w:eastAsia="標楷體" w:hAnsi="標楷體" w:hint="eastAsia"/>
              </w:rPr>
              <w:t>生控基因</w:t>
            </w:r>
            <w:proofErr w:type="gramEnd"/>
            <w:r w:rsidRPr="00CC4C67">
              <w:rPr>
                <w:rFonts w:eastAsia="標楷體" w:hAnsi="標楷體" w:hint="eastAsia"/>
              </w:rPr>
              <w:t>疫苗</w:t>
            </w:r>
            <w:r w:rsidRPr="00CC4C67">
              <w:rPr>
                <w:rFonts w:eastAsia="標楷體"/>
              </w:rPr>
              <w:t>股份有限公司</w:t>
            </w:r>
            <w:r w:rsidRPr="00CC4C67">
              <w:rPr>
                <w:rFonts w:eastAsia="標楷體" w:hint="eastAsia"/>
              </w:rPr>
              <w:t>股票茲就</w:t>
            </w:r>
            <w:r w:rsidRPr="00CC4C67">
              <w:rPr>
                <w:rFonts w:eastAsia="標楷體" w:hint="eastAsia"/>
                <w:kern w:val="24"/>
              </w:rPr>
              <w:t>股價淨值比法進行評估。</w:t>
            </w:r>
          </w:p>
          <w:p w:rsidR="00993B55" w:rsidRPr="00CC4C67" w:rsidRDefault="00993B55" w:rsidP="0057500E">
            <w:pPr>
              <w:pStyle w:val="1"/>
              <w:ind w:left="187" w:hanging="283"/>
              <w:rPr>
                <w:sz w:val="24"/>
                <w:szCs w:val="24"/>
              </w:rPr>
            </w:pPr>
            <w:r w:rsidRPr="00CC4C67">
              <w:rPr>
                <w:rFonts w:hint="eastAsia"/>
                <w:sz w:val="24"/>
                <w:szCs w:val="24"/>
              </w:rPr>
              <w:t>股價淨值比法</w:t>
            </w:r>
          </w:p>
          <w:tbl>
            <w:tblPr>
              <w:tblW w:w="7020" w:type="dxa"/>
              <w:tblInd w:w="8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205"/>
              <w:gridCol w:w="1205"/>
              <w:gridCol w:w="1205"/>
              <w:gridCol w:w="1205"/>
            </w:tblGrid>
            <w:tr w:rsidR="00993B55" w:rsidRPr="00CC4C67" w:rsidTr="0057500E">
              <w:trPr>
                <w:trHeight w:val="397"/>
              </w:trPr>
              <w:tc>
                <w:tcPr>
                  <w:tcW w:w="2200" w:type="dxa"/>
                  <w:vAlign w:val="center"/>
                  <w:hideMark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CC4C67">
                    <w:rPr>
                      <w:rFonts w:eastAsia="標楷體" w:hint="eastAsia"/>
                    </w:rPr>
                    <w:t>月份</w:t>
                  </w:r>
                  <w:r w:rsidRPr="00CC4C67">
                    <w:rPr>
                      <w:rFonts w:eastAsia="標楷體"/>
                    </w:rPr>
                    <w:t>/</w:t>
                  </w:r>
                  <w:r w:rsidRPr="00CC4C67">
                    <w:rPr>
                      <w:rFonts w:eastAsia="標楷體" w:hint="eastAsia"/>
                    </w:rPr>
                    <w:t>公司</w:t>
                  </w:r>
                </w:p>
              </w:tc>
              <w:tc>
                <w:tcPr>
                  <w:tcW w:w="1205" w:type="dxa"/>
                  <w:vAlign w:val="center"/>
                  <w:hideMark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CC4C67">
                    <w:rPr>
                      <w:rFonts w:eastAsia="標楷體"/>
                    </w:rPr>
                    <w:t>104</w:t>
                  </w:r>
                  <w:r w:rsidRPr="00CC4C67">
                    <w:rPr>
                      <w:rFonts w:eastAsia="標楷體" w:hint="eastAsia"/>
                    </w:rPr>
                    <w:t>年</w:t>
                  </w:r>
                  <w:r w:rsidRPr="00CC4C67">
                    <w:rPr>
                      <w:rFonts w:eastAsia="標楷體" w:hint="eastAsia"/>
                    </w:rPr>
                    <w:t>10</w:t>
                  </w:r>
                  <w:r w:rsidRPr="00CC4C67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05" w:type="dxa"/>
                  <w:vAlign w:val="center"/>
                  <w:hideMark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CC4C67">
                    <w:rPr>
                      <w:rFonts w:eastAsia="標楷體"/>
                    </w:rPr>
                    <w:t>104</w:t>
                  </w:r>
                  <w:r w:rsidRPr="00CC4C67">
                    <w:rPr>
                      <w:rFonts w:eastAsia="標楷體" w:hint="eastAsia"/>
                    </w:rPr>
                    <w:t>年</w:t>
                  </w:r>
                  <w:r w:rsidRPr="00CC4C67">
                    <w:rPr>
                      <w:rFonts w:eastAsia="標楷體" w:hint="eastAsia"/>
                    </w:rPr>
                    <w:t>11</w:t>
                  </w:r>
                  <w:r w:rsidRPr="00CC4C67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05" w:type="dxa"/>
                  <w:vAlign w:val="center"/>
                  <w:hideMark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CC4C67">
                    <w:rPr>
                      <w:rFonts w:eastAsia="標楷體"/>
                    </w:rPr>
                    <w:t>104</w:t>
                  </w:r>
                  <w:r w:rsidRPr="00CC4C67">
                    <w:rPr>
                      <w:rFonts w:eastAsia="標楷體" w:hint="eastAsia"/>
                    </w:rPr>
                    <w:t>年</w:t>
                  </w:r>
                  <w:r w:rsidRPr="00CC4C67">
                    <w:rPr>
                      <w:rFonts w:eastAsia="標楷體" w:hint="eastAsia"/>
                    </w:rPr>
                    <w:t>12</w:t>
                  </w:r>
                  <w:r w:rsidRPr="00CC4C67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205" w:type="dxa"/>
                  <w:vAlign w:val="center"/>
                  <w:hideMark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CC4C67">
                    <w:rPr>
                      <w:rFonts w:eastAsia="標楷體" w:hint="eastAsia"/>
                    </w:rPr>
                    <w:t>平</w:t>
                  </w:r>
                  <w:r w:rsidRPr="00CC4C67">
                    <w:rPr>
                      <w:rFonts w:eastAsia="標楷體" w:hint="eastAsia"/>
                    </w:rPr>
                    <w:t xml:space="preserve"> </w:t>
                  </w:r>
                  <w:r w:rsidRPr="00CC4C67">
                    <w:rPr>
                      <w:rFonts w:eastAsia="標楷體" w:hint="eastAsia"/>
                    </w:rPr>
                    <w:t>均</w:t>
                  </w:r>
                </w:p>
              </w:tc>
            </w:tr>
            <w:tr w:rsidR="00993B55" w:rsidRPr="00CC4C67" w:rsidTr="0057500E">
              <w:trPr>
                <w:trHeight w:val="397"/>
              </w:trPr>
              <w:tc>
                <w:tcPr>
                  <w:tcW w:w="2200" w:type="dxa"/>
                  <w:vAlign w:val="center"/>
                </w:tcPr>
                <w:p w:rsidR="00993B55" w:rsidRPr="00CC4C67" w:rsidRDefault="00993B55" w:rsidP="0057500E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proofErr w:type="gramStart"/>
                  <w:r w:rsidRPr="00CC4C67">
                    <w:rPr>
                      <w:rFonts w:eastAsia="標楷體" w:hint="eastAsia"/>
                      <w:kern w:val="0"/>
                    </w:rPr>
                    <w:t>浩</w:t>
                  </w:r>
                  <w:proofErr w:type="gramEnd"/>
                  <w:r w:rsidRPr="00CC4C67">
                    <w:rPr>
                      <w:rFonts w:eastAsia="標楷體" w:hint="eastAsia"/>
                      <w:kern w:val="0"/>
                    </w:rPr>
                    <w:t>鼎</w:t>
                  </w:r>
                  <w:r w:rsidRPr="00CC4C67">
                    <w:rPr>
                      <w:rFonts w:eastAsia="標楷體" w:hint="eastAsia"/>
                    </w:rPr>
                    <w:t>(</w:t>
                  </w:r>
                  <w:r w:rsidRPr="00CC4C67">
                    <w:rPr>
                      <w:rFonts w:eastAsia="標楷體"/>
                      <w:kern w:val="0"/>
                    </w:rPr>
                    <w:t>41</w:t>
                  </w:r>
                  <w:r w:rsidRPr="00CC4C67">
                    <w:rPr>
                      <w:rFonts w:eastAsia="標楷體" w:hint="eastAsia"/>
                      <w:kern w:val="0"/>
                    </w:rPr>
                    <w:t>74</w:t>
                  </w:r>
                  <w:r w:rsidRPr="00CC4C67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1205" w:type="dxa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18" w:right="43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 w:rsidRPr="00CC4C67">
                    <w:rPr>
                      <w:rFonts w:eastAsia="標楷體" w:hint="eastAsia"/>
                      <w:kern w:val="0"/>
                    </w:rPr>
                    <w:t>9.29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18" w:right="43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 w:rsidRPr="00CC4C67">
                    <w:rPr>
                      <w:rFonts w:eastAsia="標楷體" w:hint="eastAsia"/>
                      <w:kern w:val="0"/>
                    </w:rPr>
                    <w:t>15.68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7" w:right="17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 w:rsidRPr="00CC4C67">
                    <w:rPr>
                      <w:rFonts w:eastAsia="標楷體" w:hint="eastAsia"/>
                      <w:kern w:val="0"/>
                    </w:rPr>
                    <w:t>15.20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ind w:rightChars="13" w:right="31"/>
                    <w:jc w:val="right"/>
                    <w:rPr>
                      <w:rFonts w:eastAsia="標楷體"/>
                    </w:rPr>
                  </w:pPr>
                  <w:r w:rsidRPr="00CC4C67">
                    <w:rPr>
                      <w:rFonts w:eastAsia="標楷體" w:hint="eastAsia"/>
                    </w:rPr>
                    <w:t>13.39</w:t>
                  </w:r>
                </w:p>
              </w:tc>
            </w:tr>
            <w:tr w:rsidR="00993B55" w:rsidRPr="00CC4C67" w:rsidTr="0057500E">
              <w:trPr>
                <w:trHeight w:val="397"/>
              </w:trPr>
              <w:tc>
                <w:tcPr>
                  <w:tcW w:w="2200" w:type="dxa"/>
                  <w:vAlign w:val="center"/>
                </w:tcPr>
                <w:p w:rsidR="00993B55" w:rsidRPr="00CC4C67" w:rsidRDefault="00993B55" w:rsidP="0057500E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CC4C67">
                    <w:rPr>
                      <w:rFonts w:eastAsia="標楷體" w:hint="eastAsia"/>
                      <w:kern w:val="0"/>
                    </w:rPr>
                    <w:t>基亞</w:t>
                  </w:r>
                  <w:r w:rsidRPr="00CC4C67">
                    <w:rPr>
                      <w:rFonts w:eastAsia="標楷體" w:hint="eastAsia"/>
                    </w:rPr>
                    <w:t>(</w:t>
                  </w:r>
                  <w:r w:rsidRPr="00CC4C67">
                    <w:rPr>
                      <w:rFonts w:eastAsia="標楷體" w:hint="eastAsia"/>
                      <w:kern w:val="0"/>
                    </w:rPr>
                    <w:t>3176</w:t>
                  </w:r>
                  <w:r w:rsidRPr="00CC4C67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1205" w:type="dxa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18" w:right="43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 w:rsidRPr="00CC4C67">
                    <w:rPr>
                      <w:rFonts w:eastAsia="標楷體" w:hint="eastAsia"/>
                      <w:kern w:val="0"/>
                    </w:rPr>
                    <w:t>4.88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18" w:right="43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 w:rsidRPr="00CC4C67">
                    <w:rPr>
                      <w:rFonts w:eastAsia="標楷體" w:hint="eastAsia"/>
                      <w:kern w:val="0"/>
                    </w:rPr>
                    <w:t>5.26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7" w:right="17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 w:rsidRPr="00CC4C67">
                    <w:rPr>
                      <w:rFonts w:eastAsia="標楷體" w:hint="eastAsia"/>
                      <w:kern w:val="0"/>
                    </w:rPr>
                    <w:t>4.56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ind w:rightChars="13" w:right="31"/>
                    <w:jc w:val="right"/>
                    <w:rPr>
                      <w:rFonts w:eastAsia="標楷體"/>
                    </w:rPr>
                  </w:pPr>
                  <w:r w:rsidRPr="00CC4C67">
                    <w:rPr>
                      <w:rFonts w:eastAsia="標楷體" w:hint="eastAsia"/>
                    </w:rPr>
                    <w:t>4.90</w:t>
                  </w:r>
                </w:p>
              </w:tc>
            </w:tr>
            <w:tr w:rsidR="00993B55" w:rsidRPr="00CC4C67" w:rsidTr="0057500E">
              <w:trPr>
                <w:trHeight w:val="397"/>
              </w:trPr>
              <w:tc>
                <w:tcPr>
                  <w:tcW w:w="2200" w:type="dxa"/>
                  <w:vAlign w:val="center"/>
                </w:tcPr>
                <w:p w:rsidR="00993B55" w:rsidRPr="00CC4C67" w:rsidRDefault="00993B55" w:rsidP="0057500E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kern w:val="0"/>
                    </w:rPr>
                  </w:pPr>
                  <w:r w:rsidRPr="00F55251">
                    <w:rPr>
                      <w:rFonts w:eastAsia="標楷體" w:hint="eastAsia"/>
                    </w:rPr>
                    <w:t>上櫃生技醫療類</w:t>
                  </w:r>
                </w:p>
              </w:tc>
              <w:tc>
                <w:tcPr>
                  <w:tcW w:w="1205" w:type="dxa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18" w:right="43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3.72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18" w:right="43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4.73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widowControl/>
                    <w:adjustRightInd w:val="0"/>
                    <w:snapToGrid w:val="0"/>
                    <w:ind w:rightChars="7" w:right="17"/>
                    <w:jc w:val="right"/>
                    <w:textAlignment w:val="baseline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4.70</w:t>
                  </w:r>
                </w:p>
              </w:tc>
              <w:tc>
                <w:tcPr>
                  <w:tcW w:w="1205" w:type="dxa"/>
                  <w:shd w:val="clear" w:color="auto" w:fill="FFFFFF"/>
                  <w:vAlign w:val="center"/>
                </w:tcPr>
                <w:p w:rsidR="00993B55" w:rsidRPr="00CC4C67" w:rsidRDefault="00993B55" w:rsidP="0057500E">
                  <w:pPr>
                    <w:snapToGrid w:val="0"/>
                    <w:spacing w:line="240" w:lineRule="atLeast"/>
                    <w:ind w:rightChars="13" w:right="31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4.38</w:t>
                  </w:r>
                </w:p>
              </w:tc>
            </w:tr>
          </w:tbl>
          <w:p w:rsidR="00993B55" w:rsidRPr="00CC4C67" w:rsidRDefault="00993B55" w:rsidP="0057500E">
            <w:pPr>
              <w:ind w:firstLineChars="42" w:firstLine="92"/>
              <w:rPr>
                <w:rFonts w:eastAsia="標楷體"/>
              </w:rPr>
            </w:pPr>
            <w:r w:rsidRPr="00CC4C67">
              <w:rPr>
                <w:rFonts w:eastAsia="標楷體" w:hint="eastAsia"/>
                <w:sz w:val="22"/>
              </w:rPr>
              <w:t>資料來源：</w:t>
            </w:r>
            <w:r w:rsidRPr="00CC4C67">
              <w:rPr>
                <w:rFonts w:eastAsia="標楷體"/>
                <w:sz w:val="22"/>
                <w:szCs w:val="20"/>
              </w:rPr>
              <w:t>財團法人中華民國證券櫃檯買賣中心網站</w:t>
            </w:r>
            <w:r w:rsidRPr="00CC4C67">
              <w:rPr>
                <w:rFonts w:eastAsia="標楷體" w:hint="eastAsia"/>
              </w:rPr>
              <w:t>。</w:t>
            </w:r>
          </w:p>
          <w:p w:rsidR="00993B55" w:rsidRPr="00CC4C67" w:rsidRDefault="00993B55" w:rsidP="0057500E">
            <w:pPr>
              <w:autoSpaceDE w:val="0"/>
              <w:autoSpaceDN w:val="0"/>
              <w:adjustRightInd w:val="0"/>
              <w:spacing w:line="360" w:lineRule="atLeast"/>
              <w:ind w:leftChars="-14" w:left="-34" w:firstLineChars="200" w:firstLine="480"/>
              <w:jc w:val="both"/>
              <w:rPr>
                <w:rFonts w:eastAsia="標楷體"/>
              </w:rPr>
            </w:pPr>
            <w:proofErr w:type="gramStart"/>
            <w:r w:rsidRPr="00CC4C67">
              <w:rPr>
                <w:rFonts w:eastAsia="標楷體" w:hAnsi="標楷體" w:hint="eastAsia"/>
              </w:rPr>
              <w:t>生控</w:t>
            </w:r>
            <w:r w:rsidRPr="00CC4C67">
              <w:rPr>
                <w:rFonts w:eastAsia="標楷體"/>
              </w:rPr>
              <w:t>公司</w:t>
            </w:r>
            <w:proofErr w:type="gramEnd"/>
            <w:r w:rsidRPr="00CC4C67">
              <w:rPr>
                <w:rFonts w:eastAsia="標楷體" w:hAnsi="標楷體"/>
              </w:rPr>
              <w:t>於</w:t>
            </w:r>
            <w:r w:rsidRPr="00CC4C67">
              <w:rPr>
                <w:rFonts w:eastAsia="標楷體" w:hint="eastAsia"/>
              </w:rPr>
              <w:t>10</w:t>
            </w:r>
            <w:r w:rsidRPr="00CC4C67">
              <w:rPr>
                <w:rFonts w:eastAsia="標楷體"/>
              </w:rPr>
              <w:t>1</w:t>
            </w:r>
            <w:r w:rsidRPr="00CC4C67">
              <w:rPr>
                <w:rFonts w:eastAsia="標楷體" w:hAnsi="標楷體"/>
              </w:rPr>
              <w:t>年</w:t>
            </w:r>
            <w:r w:rsidRPr="00CC4C67">
              <w:rPr>
                <w:rFonts w:eastAsia="標楷體" w:hint="eastAsia"/>
              </w:rPr>
              <w:t>6</w:t>
            </w:r>
            <w:r w:rsidRPr="00CC4C67">
              <w:rPr>
                <w:rFonts w:eastAsia="標楷體" w:hAnsi="標楷體"/>
              </w:rPr>
              <w:t>月</w:t>
            </w:r>
            <w:r w:rsidRPr="00CC4C67">
              <w:rPr>
                <w:rFonts w:eastAsia="標楷體"/>
              </w:rPr>
              <w:t>2</w:t>
            </w:r>
            <w:r w:rsidRPr="00CC4C67">
              <w:rPr>
                <w:rFonts w:eastAsia="標楷體" w:hint="eastAsia"/>
              </w:rPr>
              <w:t>7</w:t>
            </w:r>
            <w:r w:rsidRPr="00CC4C67">
              <w:rPr>
                <w:rFonts w:eastAsia="標楷體" w:hAnsi="標楷體"/>
              </w:rPr>
              <w:t>日經經濟部核准設立，為新藥研發公司，目前研究及開發中之產品</w:t>
            </w:r>
            <w:proofErr w:type="gramStart"/>
            <w:r w:rsidRPr="00CC4C67">
              <w:rPr>
                <w:rFonts w:eastAsia="標楷體" w:hAnsi="標楷體"/>
              </w:rPr>
              <w:t>—</w:t>
            </w:r>
            <w:proofErr w:type="gramEnd"/>
            <w:r w:rsidRPr="00CC4C67">
              <w:rPr>
                <w:rFonts w:eastAsia="標楷體" w:hAnsi="標楷體" w:hint="eastAsia"/>
              </w:rPr>
              <w:t>子宮頸癌</w:t>
            </w:r>
            <w:r w:rsidRPr="00CC4C67">
              <w:rPr>
                <w:rFonts w:eastAsia="標楷體" w:hAnsi="標楷體"/>
              </w:rPr>
              <w:t>治療</w:t>
            </w:r>
            <w:r w:rsidRPr="00CC4C67">
              <w:rPr>
                <w:rFonts w:eastAsia="標楷體" w:hAnsi="標楷體" w:hint="eastAsia"/>
              </w:rPr>
              <w:t>用</w:t>
            </w:r>
            <w:r w:rsidRPr="00CC4C67">
              <w:rPr>
                <w:rFonts w:eastAsia="標楷體"/>
              </w:rPr>
              <w:t>疫苗於美國進入</w:t>
            </w:r>
            <w:r w:rsidRPr="00CC4C67">
              <w:rPr>
                <w:rFonts w:eastAsia="標楷體"/>
                <w:spacing w:val="-1"/>
              </w:rPr>
              <w:t>第二期人體臨床試驗；在臺灣業已啟動第一期臨床試驗</w:t>
            </w:r>
            <w:r w:rsidRPr="00CC4C67">
              <w:rPr>
                <w:rFonts w:eastAsia="標楷體"/>
                <w:snapToGrid w:val="0"/>
              </w:rPr>
              <w:t>。</w:t>
            </w:r>
            <w:r w:rsidRPr="00CC4C67">
              <w:rPr>
                <w:rFonts w:eastAsia="標楷體"/>
              </w:rPr>
              <w:t>而生技新藥產業具有高研發支出、高風險及產業</w:t>
            </w:r>
            <w:proofErr w:type="gramStart"/>
            <w:r w:rsidRPr="00CC4C67">
              <w:rPr>
                <w:rFonts w:eastAsia="標楷體"/>
              </w:rPr>
              <w:t>價值鏈長之</w:t>
            </w:r>
            <w:proofErr w:type="gramEnd"/>
            <w:r w:rsidRPr="00CC4C67">
              <w:rPr>
                <w:rFonts w:eastAsia="標楷體"/>
              </w:rPr>
              <w:t>特性，故其最近年度尚處虧損，其</w:t>
            </w:r>
            <w:proofErr w:type="gramStart"/>
            <w:r w:rsidRPr="00CC4C67">
              <w:rPr>
                <w:rFonts w:eastAsia="標楷體"/>
              </w:rPr>
              <w:t>採</w:t>
            </w:r>
            <w:proofErr w:type="gramEnd"/>
            <w:r w:rsidRPr="00CC4C67">
              <w:rPr>
                <w:rFonts w:eastAsia="標楷體"/>
              </w:rPr>
              <w:t>樣同業亦同，擬以</w:t>
            </w:r>
            <w:proofErr w:type="gramStart"/>
            <w:r w:rsidRPr="00CC4C67">
              <w:rPr>
                <w:rFonts w:eastAsia="標楷體"/>
                <w:kern w:val="0"/>
              </w:rPr>
              <w:t>浩</w:t>
            </w:r>
            <w:proofErr w:type="gramEnd"/>
            <w:r w:rsidRPr="00CC4C67">
              <w:rPr>
                <w:rFonts w:eastAsia="標楷體"/>
                <w:kern w:val="0"/>
              </w:rPr>
              <w:t>鼎</w:t>
            </w:r>
            <w:r w:rsidRPr="00CC4C67">
              <w:rPr>
                <w:rFonts w:eastAsia="標楷體"/>
                <w:kern w:val="0"/>
              </w:rPr>
              <w:t>(</w:t>
            </w:r>
            <w:r w:rsidRPr="00CC4C67">
              <w:rPr>
                <w:rFonts w:eastAsia="標楷體"/>
                <w:kern w:val="0"/>
              </w:rPr>
              <w:t>上櫃公司，股票代號</w:t>
            </w:r>
            <w:r w:rsidRPr="00CC4C67">
              <w:rPr>
                <w:rFonts w:eastAsia="標楷體"/>
                <w:kern w:val="0"/>
              </w:rPr>
              <w:t>4174)</w:t>
            </w:r>
            <w:r>
              <w:rPr>
                <w:rFonts w:eastAsia="標楷體" w:hint="eastAsia"/>
                <w:kern w:val="0"/>
              </w:rPr>
              <w:t>、</w:t>
            </w:r>
            <w:r w:rsidRPr="00CC4C67">
              <w:rPr>
                <w:rFonts w:eastAsia="標楷體"/>
                <w:kern w:val="0"/>
              </w:rPr>
              <w:t>基亞</w:t>
            </w:r>
            <w:r w:rsidRPr="00CC4C67">
              <w:rPr>
                <w:rFonts w:eastAsia="標楷體"/>
                <w:kern w:val="0"/>
              </w:rPr>
              <w:t>(</w:t>
            </w:r>
            <w:r w:rsidRPr="00CC4C67">
              <w:rPr>
                <w:rFonts w:eastAsia="標楷體"/>
                <w:kern w:val="0"/>
              </w:rPr>
              <w:t>上櫃公司，股票代號</w:t>
            </w:r>
            <w:r w:rsidRPr="00CC4C67">
              <w:rPr>
                <w:rFonts w:eastAsia="標楷體"/>
                <w:kern w:val="0"/>
              </w:rPr>
              <w:t>3176)</w:t>
            </w:r>
            <w:r>
              <w:rPr>
                <w:rFonts w:eastAsia="標楷體" w:hAnsi="標楷體" w:hint="eastAsia"/>
                <w:kern w:val="0"/>
              </w:rPr>
              <w:t>及</w:t>
            </w:r>
            <w:r w:rsidRPr="00F55251">
              <w:rPr>
                <w:rFonts w:eastAsia="標楷體" w:hint="eastAsia"/>
              </w:rPr>
              <w:t>上櫃生技醫療類</w:t>
            </w:r>
            <w:r>
              <w:rPr>
                <w:rFonts w:eastAsia="標楷體" w:hint="eastAsia"/>
              </w:rPr>
              <w:t>股</w:t>
            </w:r>
            <w:r w:rsidRPr="00CC4C67">
              <w:rPr>
                <w:rFonts w:eastAsia="標楷體"/>
              </w:rPr>
              <w:t>作為</w:t>
            </w:r>
            <w:proofErr w:type="gramStart"/>
            <w:r w:rsidRPr="00CC4C67">
              <w:rPr>
                <w:rFonts w:eastAsia="標楷體"/>
              </w:rPr>
              <w:t>採</w:t>
            </w:r>
            <w:proofErr w:type="gramEnd"/>
            <w:r w:rsidRPr="00CC4C67">
              <w:rPr>
                <w:rFonts w:eastAsia="標楷體"/>
              </w:rPr>
              <w:t>樣比較分析之對象。</w:t>
            </w:r>
          </w:p>
          <w:p w:rsidR="00993B55" w:rsidRPr="00CC4C67" w:rsidRDefault="00993B55" w:rsidP="0057500E">
            <w:pPr>
              <w:autoSpaceDE w:val="0"/>
              <w:autoSpaceDN w:val="0"/>
              <w:adjustRightInd w:val="0"/>
              <w:spacing w:line="360" w:lineRule="atLeas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CC4C67">
              <w:rPr>
                <w:rFonts w:eastAsia="標楷體" w:hAnsi="標楷體"/>
                <w:kern w:val="0"/>
              </w:rPr>
              <w:t>由上表可知，</w:t>
            </w:r>
            <w:proofErr w:type="gramStart"/>
            <w:r w:rsidRPr="00CC4C67">
              <w:rPr>
                <w:rFonts w:eastAsia="標楷體" w:hint="eastAsia"/>
              </w:rPr>
              <w:t>生控</w:t>
            </w:r>
            <w:r w:rsidRPr="00CC4C67">
              <w:rPr>
                <w:rFonts w:eastAsia="標楷體" w:hAnsi="標楷體"/>
                <w:kern w:val="0"/>
              </w:rPr>
              <w:t>公司</w:t>
            </w:r>
            <w:proofErr w:type="gramEnd"/>
            <w:r w:rsidRPr="00CC4C67">
              <w:rPr>
                <w:rFonts w:eastAsia="標楷體" w:hAnsi="標楷體"/>
                <w:kern w:val="0"/>
              </w:rPr>
              <w:t>之</w:t>
            </w:r>
            <w:proofErr w:type="gramStart"/>
            <w:r w:rsidRPr="00CC4C67">
              <w:rPr>
                <w:rFonts w:eastAsia="標楷體" w:hAnsi="標楷體"/>
                <w:kern w:val="0"/>
              </w:rPr>
              <w:t>採</w:t>
            </w:r>
            <w:proofErr w:type="gramEnd"/>
            <w:r w:rsidRPr="00CC4C67">
              <w:rPr>
                <w:rFonts w:eastAsia="標楷體" w:hAnsi="標楷體"/>
                <w:kern w:val="0"/>
              </w:rPr>
              <w:t>樣同業</w:t>
            </w:r>
            <w:r>
              <w:rPr>
                <w:rFonts w:eastAsia="標楷體" w:hAnsi="標楷體" w:hint="eastAsia"/>
                <w:kern w:val="0"/>
              </w:rPr>
              <w:t>及</w:t>
            </w:r>
            <w:r w:rsidRPr="00F55251">
              <w:rPr>
                <w:rFonts w:eastAsia="標楷體" w:hint="eastAsia"/>
              </w:rPr>
              <w:t>上櫃生技醫療類</w:t>
            </w:r>
            <w:r>
              <w:rPr>
                <w:rFonts w:eastAsia="標楷體" w:hint="eastAsia"/>
              </w:rPr>
              <w:t>股</w:t>
            </w:r>
            <w:r w:rsidRPr="00CC4C67">
              <w:rPr>
                <w:rFonts w:eastAsia="標楷體"/>
                <w:kern w:val="0"/>
              </w:rPr>
              <w:t>10</w:t>
            </w:r>
            <w:r w:rsidRPr="00CC4C67">
              <w:rPr>
                <w:rFonts w:eastAsia="標楷體" w:hint="eastAsia"/>
                <w:kern w:val="0"/>
              </w:rPr>
              <w:t>4</w:t>
            </w:r>
            <w:r w:rsidRPr="00CC4C67">
              <w:rPr>
                <w:rFonts w:eastAsia="標楷體" w:hAnsi="標楷體"/>
                <w:kern w:val="0"/>
              </w:rPr>
              <w:t>年</w:t>
            </w:r>
            <w:r w:rsidRPr="00CC4C67">
              <w:rPr>
                <w:rFonts w:eastAsia="標楷體" w:hint="eastAsia"/>
                <w:kern w:val="0"/>
              </w:rPr>
              <w:t>10</w:t>
            </w:r>
            <w:r w:rsidRPr="00CC4C67">
              <w:rPr>
                <w:rFonts w:eastAsia="標楷體" w:hAnsi="標楷體"/>
                <w:kern w:val="0"/>
              </w:rPr>
              <w:t>～</w:t>
            </w:r>
            <w:r w:rsidRPr="00CC4C67">
              <w:rPr>
                <w:rFonts w:eastAsia="標楷體"/>
                <w:kern w:val="0"/>
              </w:rPr>
              <w:t>1</w:t>
            </w:r>
            <w:r w:rsidRPr="00CC4C67">
              <w:rPr>
                <w:rFonts w:eastAsia="標楷體" w:hint="eastAsia"/>
                <w:kern w:val="0"/>
              </w:rPr>
              <w:t>2</w:t>
            </w:r>
            <w:r w:rsidRPr="00CC4C67">
              <w:rPr>
                <w:rFonts w:eastAsia="標楷體" w:hAnsi="標楷體"/>
                <w:kern w:val="0"/>
              </w:rPr>
              <w:t>月股價淨值比約介於</w:t>
            </w:r>
            <w:r>
              <w:rPr>
                <w:rFonts w:eastAsia="標楷體" w:hint="eastAsia"/>
                <w:kern w:val="0"/>
              </w:rPr>
              <w:t>4.38</w:t>
            </w:r>
            <w:r w:rsidRPr="00CC4C67">
              <w:rPr>
                <w:rFonts w:eastAsia="標楷體" w:hAnsi="標楷體"/>
                <w:kern w:val="0"/>
              </w:rPr>
              <w:t>倍～</w:t>
            </w:r>
            <w:r w:rsidRPr="00CC4C67">
              <w:rPr>
                <w:rFonts w:eastAsia="標楷體" w:hint="eastAsia"/>
                <w:kern w:val="0"/>
              </w:rPr>
              <w:t>13.39</w:t>
            </w:r>
            <w:r w:rsidRPr="00CC4C67">
              <w:rPr>
                <w:rFonts w:eastAsia="標楷體" w:hAnsi="標楷體"/>
                <w:kern w:val="0"/>
              </w:rPr>
              <w:t>倍</w:t>
            </w:r>
            <w:proofErr w:type="gramStart"/>
            <w:r w:rsidRPr="00CC4C67">
              <w:rPr>
                <w:rFonts w:eastAsia="標楷體" w:hAnsi="標楷體"/>
                <w:kern w:val="0"/>
              </w:rPr>
              <w:t>之間，</w:t>
            </w:r>
            <w:proofErr w:type="gramEnd"/>
            <w:r w:rsidRPr="00CC4C67">
              <w:rPr>
                <w:rFonts w:eastAsia="標楷體" w:hAnsi="標楷體"/>
                <w:kern w:val="0"/>
              </w:rPr>
              <w:t>若以該公司</w:t>
            </w:r>
            <w:r w:rsidRPr="00CC4C67">
              <w:rPr>
                <w:rFonts w:eastAsia="標楷體" w:hint="eastAsia"/>
              </w:rPr>
              <w:t>104</w:t>
            </w:r>
            <w:r w:rsidRPr="00CC4C67">
              <w:rPr>
                <w:rFonts w:eastAsia="標楷體" w:hAnsi="標楷體"/>
              </w:rPr>
              <w:t>年</w:t>
            </w:r>
            <w:r w:rsidRPr="00CC4C67">
              <w:rPr>
                <w:rFonts w:eastAsia="標楷體" w:hint="eastAsia"/>
              </w:rPr>
              <w:t>6</w:t>
            </w:r>
            <w:r w:rsidRPr="00CC4C67">
              <w:rPr>
                <w:rFonts w:eastAsia="標楷體" w:hAnsi="標楷體"/>
              </w:rPr>
              <w:t>月底每股淨值</w:t>
            </w:r>
            <w:r w:rsidRPr="00CC4C67">
              <w:rPr>
                <w:rFonts w:eastAsia="標楷體" w:hint="eastAsia"/>
              </w:rPr>
              <w:t>8.85</w:t>
            </w:r>
            <w:r w:rsidRPr="00CC4C67">
              <w:rPr>
                <w:rFonts w:eastAsia="標楷體" w:hAnsi="標楷體"/>
              </w:rPr>
              <w:t>元</w:t>
            </w:r>
            <w:r w:rsidRPr="00CC4C67">
              <w:rPr>
                <w:rFonts w:eastAsia="標楷體" w:hint="eastAsia"/>
              </w:rPr>
              <w:t>計算</w:t>
            </w:r>
            <w:r w:rsidRPr="00CC4C67">
              <w:rPr>
                <w:rFonts w:eastAsia="標楷體" w:hAnsi="標楷體"/>
              </w:rPr>
              <w:t>，</w:t>
            </w:r>
            <w:proofErr w:type="gramStart"/>
            <w:r w:rsidRPr="00CC4C67">
              <w:rPr>
                <w:rFonts w:eastAsia="標楷體" w:hint="eastAsia"/>
              </w:rPr>
              <w:t>生控</w:t>
            </w:r>
            <w:r w:rsidRPr="00CC4C67">
              <w:rPr>
                <w:rFonts w:eastAsia="標楷體" w:hAnsi="標楷體"/>
                <w:kern w:val="0"/>
              </w:rPr>
              <w:t>公司</w:t>
            </w:r>
            <w:proofErr w:type="gramEnd"/>
            <w:r w:rsidRPr="00CC4C67">
              <w:rPr>
                <w:rFonts w:eastAsia="標楷體" w:hint="eastAsia"/>
              </w:rPr>
              <w:t>每股參考股價區間約為</w:t>
            </w:r>
            <w:r>
              <w:rPr>
                <w:rFonts w:eastAsia="標楷體" w:hint="eastAsia"/>
                <w:bCs/>
                <w:kern w:val="0"/>
                <w:lang w:val="en-GB"/>
              </w:rPr>
              <w:t>38.76</w:t>
            </w:r>
            <w:r w:rsidRPr="00CC4C67">
              <w:rPr>
                <w:rFonts w:eastAsia="標楷體" w:hint="eastAsia"/>
              </w:rPr>
              <w:t>元</w:t>
            </w:r>
            <w:r w:rsidRPr="00CC4C67">
              <w:rPr>
                <w:rFonts w:eastAsia="標楷體" w:hAnsi="標楷體"/>
                <w:kern w:val="0"/>
              </w:rPr>
              <w:t>～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118.50</w:t>
            </w:r>
            <w:r w:rsidRPr="00CC4C67">
              <w:rPr>
                <w:rFonts w:eastAsia="標楷體" w:hint="eastAsia"/>
              </w:rPr>
              <w:t>元。</w:t>
            </w:r>
          </w:p>
          <w:p w:rsidR="00993B55" w:rsidRPr="00CC4C67" w:rsidRDefault="00993B55" w:rsidP="0057500E">
            <w:pPr>
              <w:autoSpaceDE w:val="0"/>
              <w:autoSpaceDN w:val="0"/>
              <w:adjustRightInd w:val="0"/>
              <w:spacing w:line="360" w:lineRule="atLeast"/>
              <w:ind w:leftChars="-14" w:left="-34" w:firstLineChars="200" w:firstLine="480"/>
              <w:jc w:val="both"/>
              <w:rPr>
                <w:rFonts w:eastAsia="標楷體"/>
              </w:rPr>
            </w:pPr>
            <w:proofErr w:type="gramStart"/>
            <w:r w:rsidRPr="00CC4C67">
              <w:rPr>
                <w:rFonts w:eastAsia="標楷體" w:hint="eastAsia"/>
                <w:bCs/>
                <w:kern w:val="0"/>
                <w:lang w:val="en-GB"/>
              </w:rPr>
              <w:t>參酌</w:t>
            </w:r>
            <w:r w:rsidRPr="00CC4C67">
              <w:rPr>
                <w:rFonts w:eastAsia="標楷體" w:hint="eastAsia"/>
              </w:rPr>
              <w:t>生控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公司</w:t>
            </w:r>
            <w:proofErr w:type="gramEnd"/>
            <w:r w:rsidRPr="00CC4C67">
              <w:rPr>
                <w:rFonts w:eastAsia="標楷體" w:hint="eastAsia"/>
              </w:rPr>
              <w:t>經營績效、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所處市場環境、產業未來成長性及同業之市場狀況，並考量興櫃</w:t>
            </w:r>
            <w:proofErr w:type="gramStart"/>
            <w:r w:rsidRPr="00CC4C67">
              <w:rPr>
                <w:rFonts w:eastAsia="標楷體" w:hint="eastAsia"/>
                <w:bCs/>
                <w:kern w:val="0"/>
                <w:lang w:val="en-GB"/>
              </w:rPr>
              <w:t>巿</w:t>
            </w:r>
            <w:proofErr w:type="gramEnd"/>
            <w:r w:rsidRPr="00CC4C67">
              <w:rPr>
                <w:rFonts w:eastAsia="標楷體" w:hint="eastAsia"/>
                <w:bCs/>
                <w:kern w:val="0"/>
                <w:lang w:val="en-GB"/>
              </w:rPr>
              <w:t>場流動性不足之風險後，本公司</w:t>
            </w:r>
            <w:proofErr w:type="gramStart"/>
            <w:r w:rsidRPr="00CC4C67">
              <w:rPr>
                <w:rFonts w:eastAsia="標楷體" w:hint="eastAsia"/>
                <w:bCs/>
                <w:kern w:val="0"/>
                <w:lang w:val="en-GB"/>
              </w:rPr>
              <w:t>與</w:t>
            </w:r>
            <w:r w:rsidRPr="00CC4C67">
              <w:rPr>
                <w:rFonts w:eastAsia="標楷體" w:hint="eastAsia"/>
              </w:rPr>
              <w:t>生控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公司</w:t>
            </w:r>
            <w:proofErr w:type="gramEnd"/>
            <w:r w:rsidR="004208BA">
              <w:rPr>
                <w:rFonts w:eastAsia="標楷體" w:hint="eastAsia"/>
                <w:bCs/>
                <w:kern w:val="0"/>
                <w:lang w:val="en-GB"/>
              </w:rPr>
              <w:t>參考上述股價區間價格之中位數約</w:t>
            </w:r>
            <w:r w:rsidR="004208BA">
              <w:rPr>
                <w:rFonts w:eastAsia="標楷體" w:hint="eastAsia"/>
                <w:bCs/>
                <w:kern w:val="0"/>
                <w:lang w:val="en-GB"/>
              </w:rPr>
              <w:t>78.63</w:t>
            </w:r>
            <w:r w:rsidR="004208BA">
              <w:rPr>
                <w:rFonts w:eastAsia="標楷體" w:hint="eastAsia"/>
                <w:bCs/>
                <w:kern w:val="0"/>
                <w:lang w:val="en-GB"/>
              </w:rPr>
              <w:t>元，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共同議定之每股認購價格為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75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元</w:t>
            </w:r>
            <w:r w:rsidRPr="00CC4C67">
              <w:rPr>
                <w:rFonts w:eastAsia="標楷體" w:hint="eastAsia"/>
              </w:rPr>
              <w:t>，應尚屬合理</w:t>
            </w:r>
            <w:r w:rsidRPr="00CC4C67">
              <w:rPr>
                <w:rFonts w:eastAsia="標楷體" w:hint="eastAsia"/>
                <w:bCs/>
                <w:kern w:val="0"/>
                <w:lang w:val="en-GB"/>
              </w:rPr>
              <w:t>。</w:t>
            </w:r>
          </w:p>
        </w:tc>
      </w:tr>
    </w:tbl>
    <w:p w:rsidR="00993B55" w:rsidRPr="00A261B6" w:rsidRDefault="00993B55" w:rsidP="00993B55">
      <w:pPr>
        <w:jc w:val="both"/>
        <w:rPr>
          <w:rFonts w:eastAsia="標楷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68"/>
      </w:tblGrid>
      <w:tr w:rsidR="00993B55" w:rsidRPr="00A261B6" w:rsidTr="0057500E">
        <w:trPr>
          <w:trHeight w:val="768"/>
        </w:trPr>
        <w:tc>
          <w:tcPr>
            <w:tcW w:w="9568" w:type="dxa"/>
          </w:tcPr>
          <w:p w:rsidR="00993B55" w:rsidRPr="00A261B6" w:rsidRDefault="004D4E2A" w:rsidP="0057500E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bookmarkStart w:id="2" w:name="公司簡介"/>
            <w:bookmarkEnd w:id="2"/>
            <w:r w:rsidRPr="004D4E2A">
              <w:rPr>
                <w:rFonts w:eastAsia="標楷體"/>
                <w:noProof/>
                <w:sz w:val="20"/>
              </w:rPr>
              <w:pict>
                <v:shape id="_x0000_s1027" type="#_x0000_t202" style="position:absolute;left:0;text-align:left;margin-left:-1.1pt;margin-top:-.5pt;width:477pt;height:39.55pt;z-index:-251655168" fillcolor="#ededed" stroked="f">
                  <v:fill rotate="t" focus="50%" type="gradient"/>
                  <v:textbox style="mso-next-textbox:#_x0000_s1027">
                    <w:txbxContent>
                      <w:p w:rsidR="00993B55" w:rsidRDefault="00993B55" w:rsidP="00993B55"/>
                    </w:txbxContent>
                  </v:textbox>
                </v:shape>
              </w:pict>
            </w:r>
            <w:r w:rsidR="00993B55" w:rsidRPr="00A261B6">
              <w:rPr>
                <w:rFonts w:eastAsia="標楷體" w:hAnsi="標楷體"/>
                <w:b/>
                <w:bCs/>
              </w:rPr>
              <w:t>公司簡介</w:t>
            </w:r>
            <w:r w:rsidR="00993B55" w:rsidRPr="00A261B6">
              <w:rPr>
                <w:rFonts w:eastAsia="標楷體"/>
                <w:b/>
                <w:bCs/>
              </w:rPr>
              <w:t>(</w:t>
            </w:r>
            <w:r w:rsidR="00993B55" w:rsidRPr="00A261B6">
              <w:rPr>
                <w:rFonts w:eastAsia="標楷體" w:hAnsi="標楷體"/>
                <w:b/>
                <w:bCs/>
              </w:rPr>
              <w:t>公司介紹、歷史沿革、經營理念、未來展望等</w:t>
            </w:r>
            <w:r w:rsidR="00993B55" w:rsidRPr="00A261B6">
              <w:rPr>
                <w:rFonts w:eastAsia="標楷體"/>
                <w:b/>
                <w:bCs/>
              </w:rPr>
              <w:t>)</w:t>
            </w:r>
          </w:p>
        </w:tc>
      </w:tr>
      <w:tr w:rsidR="00993B55" w:rsidRPr="00A261B6" w:rsidTr="0057500E">
        <w:tc>
          <w:tcPr>
            <w:tcW w:w="9568" w:type="dxa"/>
          </w:tcPr>
          <w:p w:rsidR="00993B55" w:rsidRPr="00A261B6" w:rsidRDefault="00993B55" w:rsidP="0057500E">
            <w:pPr>
              <w:jc w:val="both"/>
              <w:rPr>
                <w:rStyle w:val="HTML1"/>
                <w:rFonts w:eastAsia="標楷體"/>
                <w:szCs w:val="12"/>
              </w:rPr>
            </w:pPr>
            <w:r w:rsidRPr="000D3EBA">
              <w:rPr>
                <w:rFonts w:eastAsia="標楷體"/>
                <w:b/>
                <w:kern w:val="0"/>
              </w:rPr>
              <w:t>公司介紹</w:t>
            </w:r>
          </w:p>
          <w:p w:rsidR="00993B55" w:rsidRDefault="00993B55" w:rsidP="004208BA">
            <w:pPr>
              <w:pStyle w:val="HTML"/>
              <w:spacing w:line="360" w:lineRule="exact"/>
              <w:ind w:leftChars="75" w:left="180" w:rightChars="63" w:right="151" w:firstLineChars="200" w:firstLine="480"/>
              <w:jc w:val="both"/>
              <w:rPr>
                <w:rFonts w:eastAsia="標楷體"/>
              </w:rPr>
            </w:pPr>
            <w:r w:rsidRPr="00131570">
              <w:rPr>
                <w:rStyle w:val="HTML1"/>
                <w:rFonts w:ascii="Times New Roman" w:eastAsia="標楷體" w:hAnsi="標楷體" w:cs="Times New Roman"/>
                <w:sz w:val="24"/>
                <w:szCs w:val="12"/>
              </w:rPr>
              <w:t>生控基因疫苗股份有限公司創立於</w:t>
            </w:r>
            <w:r w:rsidRPr="00131570">
              <w:rPr>
                <w:rStyle w:val="HTML1"/>
                <w:rFonts w:ascii="Times New Roman" w:eastAsia="標楷體" w:hAnsi="標楷體" w:cs="Times New Roman" w:hint="eastAsia"/>
                <w:sz w:val="24"/>
                <w:szCs w:val="12"/>
              </w:rPr>
              <w:t>民國</w:t>
            </w:r>
            <w:r w:rsidRPr="00131570">
              <w:rPr>
                <w:rStyle w:val="HTML1"/>
                <w:rFonts w:ascii="Times New Roman" w:eastAsia="標楷體" w:hAnsi="標楷體" w:cs="Times New Roman" w:hint="eastAsia"/>
                <w:sz w:val="24"/>
                <w:szCs w:val="12"/>
              </w:rPr>
              <w:t>101</w:t>
            </w:r>
            <w:r w:rsidRPr="00131570">
              <w:rPr>
                <w:rStyle w:val="HTML1"/>
                <w:rFonts w:ascii="Times New Roman" w:eastAsia="標楷體" w:hAnsi="標楷體" w:cs="Times New Roman"/>
                <w:sz w:val="24"/>
                <w:szCs w:val="12"/>
              </w:rPr>
              <w:t>年</w:t>
            </w:r>
            <w:r w:rsidRPr="00131570">
              <w:rPr>
                <w:rStyle w:val="HTML1"/>
                <w:rFonts w:ascii="Times New Roman" w:eastAsia="標楷體" w:hAnsi="標楷體" w:cs="Times New Roman"/>
                <w:sz w:val="24"/>
                <w:szCs w:val="12"/>
              </w:rPr>
              <w:t>6</w:t>
            </w:r>
            <w:r w:rsidRPr="00131570">
              <w:rPr>
                <w:rStyle w:val="HTML1"/>
                <w:rFonts w:ascii="Times New Roman" w:eastAsia="標楷體" w:hAnsi="標楷體" w:cs="Times New Roman"/>
                <w:sz w:val="24"/>
                <w:szCs w:val="12"/>
              </w:rPr>
              <w:t>月</w:t>
            </w:r>
            <w:r w:rsidRPr="00131570">
              <w:rPr>
                <w:rStyle w:val="HTML1"/>
                <w:rFonts w:ascii="Times New Roman" w:eastAsia="標楷體" w:hAnsi="標楷體" w:cs="Times New Roman"/>
                <w:sz w:val="24"/>
                <w:szCs w:val="12"/>
              </w:rPr>
              <w:t>27</w:t>
            </w:r>
            <w:r w:rsidRPr="00131570">
              <w:rPr>
                <w:rStyle w:val="HTML1"/>
                <w:rFonts w:ascii="Times New Roman" w:eastAsia="標楷體" w:hAnsi="標楷體" w:cs="Times New Roman"/>
                <w:sz w:val="24"/>
                <w:szCs w:val="12"/>
              </w:rPr>
              <w:t>日，以創新生物科技作為公司發展的核心競爭力，所擁有的科技重點在於利用基因工程技術開發出次單位蛋白質疫苗，將打破傳統上對於疫苗的認知，在治病機制、臨床使用、生產製造等方面帶來革命性的改變，以期能夠在病毒性感染症以及癌症治療方面，提供安全、有效的解法，進而延長病患壽命、提升人類福祉。</w:t>
            </w:r>
          </w:p>
          <w:p w:rsidR="00993B55" w:rsidRDefault="00993B55" w:rsidP="0057500E">
            <w:pPr>
              <w:spacing w:line="240" w:lineRule="exact"/>
              <w:ind w:leftChars="75" w:left="180" w:rightChars="63" w:right="151" w:firstLineChars="180" w:firstLine="432"/>
              <w:jc w:val="both"/>
              <w:rPr>
                <w:rFonts w:eastAsia="標楷體"/>
              </w:rPr>
            </w:pPr>
          </w:p>
          <w:p w:rsidR="00993B55" w:rsidRDefault="00993B55" w:rsidP="0057500E">
            <w:pPr>
              <w:spacing w:line="240" w:lineRule="exact"/>
              <w:ind w:leftChars="75" w:left="180" w:rightChars="63" w:right="151" w:firstLineChars="180" w:firstLine="432"/>
              <w:jc w:val="both"/>
              <w:rPr>
                <w:rFonts w:eastAsia="標楷體"/>
              </w:rPr>
            </w:pPr>
          </w:p>
          <w:p w:rsidR="00993B55" w:rsidRDefault="00993B55" w:rsidP="0057500E">
            <w:pPr>
              <w:spacing w:line="240" w:lineRule="exact"/>
              <w:ind w:leftChars="75" w:left="180" w:rightChars="63" w:right="151" w:firstLineChars="180" w:firstLine="432"/>
              <w:jc w:val="both"/>
              <w:rPr>
                <w:rFonts w:eastAsia="標楷體"/>
              </w:rPr>
            </w:pPr>
          </w:p>
          <w:p w:rsidR="00993B55" w:rsidRDefault="00993B55" w:rsidP="0057500E">
            <w:pPr>
              <w:spacing w:line="240" w:lineRule="exact"/>
              <w:ind w:leftChars="75" w:left="180" w:rightChars="63" w:right="151" w:firstLineChars="180" w:firstLine="432"/>
              <w:jc w:val="both"/>
              <w:rPr>
                <w:rFonts w:eastAsia="標楷體"/>
              </w:rPr>
            </w:pPr>
          </w:p>
          <w:p w:rsidR="00993B55" w:rsidRDefault="00993B55" w:rsidP="0057500E">
            <w:pPr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lastRenderedPageBreak/>
              <w:t>歷史沿革</w:t>
            </w:r>
          </w:p>
          <w:tbl>
            <w:tblPr>
              <w:tblW w:w="864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1559"/>
              <w:gridCol w:w="7087"/>
            </w:tblGrid>
            <w:tr w:rsidR="00993B55" w:rsidRPr="00CF1A31" w:rsidTr="0057500E">
              <w:trPr>
                <w:trHeight w:val="330"/>
                <w:tblHeader/>
              </w:trPr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993B55" w:rsidRPr="00CF1A31" w:rsidRDefault="00993B55" w:rsidP="0057500E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CF1A31">
                    <w:rPr>
                      <w:rFonts w:eastAsia="標楷體" w:hAnsi="標楷體"/>
                      <w:color w:val="000000"/>
                      <w:kern w:val="0"/>
                    </w:rPr>
                    <w:t>年</w:t>
                  </w:r>
                  <w:r w:rsidRPr="00CF1A31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color w:val="000000"/>
                      <w:kern w:val="0"/>
                    </w:rPr>
                    <w:t>度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993B55" w:rsidRPr="00CF1A31" w:rsidRDefault="00993B55" w:rsidP="0057500E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CF1A31">
                    <w:rPr>
                      <w:rFonts w:eastAsia="標楷體" w:hAnsi="標楷體"/>
                      <w:color w:val="000000"/>
                      <w:kern w:val="0"/>
                    </w:rPr>
                    <w:t>重</w:t>
                  </w:r>
                  <w:r w:rsidRPr="00CF1A31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CF1A31">
                    <w:rPr>
                      <w:rFonts w:eastAsia="標楷體" w:hAnsi="標楷體"/>
                      <w:color w:val="000000"/>
                      <w:kern w:val="0"/>
                    </w:rPr>
                    <w:t>要</w:t>
                  </w:r>
                  <w:r w:rsidRPr="00CF1A31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CF1A31">
                    <w:rPr>
                      <w:rFonts w:eastAsia="標楷體" w:hAnsi="標楷體"/>
                      <w:color w:val="000000"/>
                      <w:kern w:val="0"/>
                    </w:rPr>
                    <w:t>記</w:t>
                  </w:r>
                  <w:r w:rsidRPr="00CF1A31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CF1A31">
                    <w:rPr>
                      <w:rFonts w:eastAsia="標楷體" w:hAnsi="標楷體"/>
                      <w:color w:val="000000"/>
                      <w:kern w:val="0"/>
                    </w:rPr>
                    <w:t>事</w:t>
                  </w:r>
                </w:p>
              </w:tc>
            </w:tr>
            <w:tr w:rsidR="00993B55" w:rsidRPr="00CF1A31" w:rsidTr="0057500E">
              <w:trPr>
                <w:trHeight w:val="660"/>
              </w:trPr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993B55" w:rsidRPr="00CF1A31" w:rsidRDefault="00993B55" w:rsidP="0057500E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D71AB7">
                    <w:rPr>
                      <w:rFonts w:eastAsia="標楷體" w:hint="eastAsia"/>
                      <w:bCs/>
                    </w:rPr>
                    <w:t>民國</w:t>
                  </w:r>
                  <w:r w:rsidRPr="00D71AB7">
                    <w:rPr>
                      <w:rFonts w:eastAsia="標楷體" w:hint="eastAsia"/>
                      <w:bCs/>
                    </w:rPr>
                    <w:t>101</w:t>
                  </w:r>
                  <w:r w:rsidRPr="00D71AB7">
                    <w:rPr>
                      <w:rFonts w:eastAsia="標楷體" w:hint="eastAsia"/>
                      <w:bCs/>
                    </w:rPr>
                    <w:t>年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proofErr w:type="gramStart"/>
                  <w:r w:rsidRPr="00D71AB7">
                    <w:rPr>
                      <w:rFonts w:eastAsia="標楷體"/>
                      <w:sz w:val="24"/>
                      <w:szCs w:val="24"/>
                    </w:rPr>
                    <w:t>生控基因</w:t>
                  </w:r>
                  <w:proofErr w:type="gramEnd"/>
                  <w:r w:rsidRPr="00D71AB7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(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股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)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公司成立，公司登記核准，實收資本額新台幣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55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proofErr w:type="gramStart"/>
                  <w:r w:rsidRPr="00D71AB7">
                    <w:rPr>
                      <w:rFonts w:eastAsia="標楷體"/>
                      <w:sz w:val="24"/>
                      <w:szCs w:val="24"/>
                    </w:rPr>
                    <w:t>生控與生寶</w:t>
                  </w:r>
                  <w:proofErr w:type="gramEnd"/>
                  <w:r w:rsidRPr="00D71AB7">
                    <w:rPr>
                      <w:rFonts w:eastAsia="標楷體"/>
                      <w:sz w:val="24"/>
                      <w:szCs w:val="24"/>
                    </w:rPr>
                    <w:t>生物科技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(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股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)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公司雙方簽訂「專利暨技術買賣合約」，取得若干疫苗技術專利，為</w:t>
                  </w: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開發之基礎。</w:t>
                  </w:r>
                </w:p>
                <w:p w:rsidR="00993B55" w:rsidRPr="00CF1A31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color w:val="000000"/>
                    </w:rPr>
                  </w:pP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本公司為擴展營運，現金增資新台幣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150,000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，增資後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實收資本額新台幣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205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</w:tc>
            </w:tr>
            <w:tr w:rsidR="00993B55" w:rsidRPr="00CF1A31" w:rsidTr="0057500E">
              <w:trPr>
                <w:trHeight w:val="660"/>
              </w:trPr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993B55" w:rsidRPr="00CF1A31" w:rsidRDefault="00993B55" w:rsidP="0057500E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D71AB7">
                    <w:rPr>
                      <w:rFonts w:eastAsia="標楷體" w:hint="eastAsia"/>
                      <w:bCs/>
                    </w:rPr>
                    <w:t>民國</w:t>
                  </w:r>
                  <w:r w:rsidRPr="00D71AB7">
                    <w:rPr>
                      <w:rFonts w:eastAsia="標楷體" w:hint="eastAsia"/>
                      <w:bCs/>
                    </w:rPr>
                    <w:t>102</w:t>
                  </w:r>
                  <w:r w:rsidRPr="00D71AB7">
                    <w:rPr>
                      <w:rFonts w:eastAsia="標楷體" w:hint="eastAsia"/>
                      <w:bCs/>
                    </w:rPr>
                    <w:t>年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993B55" w:rsidRPr="000E3BB0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outlineLvl w:val="0"/>
                    <w:rPr>
                      <w:rFonts w:eastAsia="標楷體"/>
                      <w:sz w:val="24"/>
                      <w:szCs w:val="24"/>
                    </w:rPr>
                  </w:pPr>
                  <w:r w:rsidRPr="001C6C41">
                    <w:rPr>
                      <w:rFonts w:eastAsia="標楷體" w:hint="eastAsia"/>
                      <w:sz w:val="24"/>
                      <w:szCs w:val="24"/>
                    </w:rPr>
                    <w:t>本公司為擴展營運，現金增資新台幣</w:t>
                  </w:r>
                  <w:r w:rsidRPr="001C6C41">
                    <w:rPr>
                      <w:rFonts w:eastAsia="標楷體"/>
                      <w:sz w:val="24"/>
                      <w:szCs w:val="24"/>
                    </w:rPr>
                    <w:t>100,000</w:t>
                  </w:r>
                  <w:r w:rsidRPr="001C6C41">
                    <w:rPr>
                      <w:rFonts w:eastAsia="標楷體" w:hint="eastAsia"/>
                      <w:sz w:val="24"/>
                      <w:szCs w:val="24"/>
                    </w:rPr>
                    <w:t>仟元，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增資後</w:t>
                  </w:r>
                  <w:r w:rsidRPr="001C6C41">
                    <w:rPr>
                      <w:rFonts w:eastAsia="標楷體" w:hint="eastAsia"/>
                      <w:sz w:val="24"/>
                      <w:szCs w:val="24"/>
                    </w:rPr>
                    <w:t>實收資本額新台幣</w:t>
                  </w:r>
                  <w:r w:rsidRPr="001C6C41">
                    <w:rPr>
                      <w:rFonts w:eastAsia="標楷體"/>
                      <w:sz w:val="24"/>
                      <w:szCs w:val="24"/>
                    </w:rPr>
                    <w:t>305,000</w:t>
                  </w:r>
                  <w:r w:rsidRPr="001C6C41">
                    <w:rPr>
                      <w:rFonts w:eastAsia="標楷體" w:hint="eastAsia"/>
                      <w:sz w:val="24"/>
                      <w:szCs w:val="24"/>
                    </w:rPr>
                    <w:t>仟元。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本公司為擴展營運，現金增資新台幣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200,000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，增資後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實收資本額新台幣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5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05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治療型疫苗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在美國正式完成</w:t>
                  </w:r>
                  <w:r w:rsidRPr="000E3BB0">
                    <w:rPr>
                      <w:rFonts w:eastAsia="標楷體"/>
                      <w:sz w:val="24"/>
                      <w:szCs w:val="24"/>
                    </w:rPr>
                    <w:t>GLP</w:t>
                  </w:r>
                  <w:proofErr w:type="gramStart"/>
                  <w:r w:rsidRPr="00D71AB7">
                    <w:rPr>
                      <w:rFonts w:eastAsia="標楷體"/>
                      <w:sz w:val="24"/>
                      <w:szCs w:val="24"/>
                    </w:rPr>
                    <w:t>毒理試驗</w:t>
                  </w:r>
                  <w:proofErr w:type="gramEnd"/>
                  <w:r w:rsidRPr="00D71AB7">
                    <w:rPr>
                      <w:rFonts w:eastAsia="標楷體"/>
                      <w:sz w:val="24"/>
                      <w:szCs w:val="24"/>
                    </w:rPr>
                    <w:t>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本公司為擴展營運，現金增資新台幣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45,000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仟元，增資後實收資本額新台幣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5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50,000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仟元。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臨床批次在美國完成第一批</w:t>
                  </w:r>
                  <w:proofErr w:type="spellStart"/>
                  <w:r w:rsidRPr="000E3BB0">
                    <w:rPr>
                      <w:rFonts w:eastAsia="標楷體"/>
                      <w:sz w:val="24"/>
                      <w:szCs w:val="24"/>
                    </w:rPr>
                    <w:t>cGMP</w:t>
                  </w:r>
                  <w:proofErr w:type="spellEnd"/>
                  <w:r w:rsidRPr="00D71AB7">
                    <w:rPr>
                      <w:rFonts w:eastAsia="標楷體"/>
                      <w:sz w:val="24"/>
                      <w:szCs w:val="24"/>
                    </w:rPr>
                    <w:t>生產。</w:t>
                  </w:r>
                </w:p>
                <w:p w:rsidR="00993B55" w:rsidRPr="00CF1A31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申請並通過美國食品藥物管理局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(FDA)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的新藥臨床試驗審查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(IND)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，正式啟動第一期人體臨床試驗。</w:t>
                  </w:r>
                </w:p>
              </w:tc>
            </w:tr>
            <w:tr w:rsidR="00993B55" w:rsidRPr="00CF1A31" w:rsidTr="0057500E">
              <w:trPr>
                <w:trHeight w:val="330"/>
              </w:trPr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993B55" w:rsidRPr="00CF1A31" w:rsidRDefault="00993B55" w:rsidP="0057500E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eastAsia="標楷體"/>
                      <w:color w:val="000000"/>
                      <w:kern w:val="0"/>
                    </w:rPr>
                  </w:pPr>
                  <w:r w:rsidRPr="00D71AB7">
                    <w:rPr>
                      <w:rFonts w:eastAsia="標楷體" w:hint="eastAsia"/>
                      <w:bCs/>
                    </w:rPr>
                    <w:t>民國</w:t>
                  </w:r>
                  <w:r w:rsidRPr="00D71AB7">
                    <w:rPr>
                      <w:rFonts w:eastAsia="標楷體" w:hint="eastAsia"/>
                      <w:bCs/>
                    </w:rPr>
                    <w:t>103</w:t>
                  </w:r>
                  <w:r w:rsidRPr="00D71AB7">
                    <w:rPr>
                      <w:rFonts w:eastAsia="標楷體" w:hint="eastAsia"/>
                      <w:bCs/>
                    </w:rPr>
                    <w:t>年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本公司為擴展營運，現金增資新台幣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70,000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，增資後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實收資本額新台幣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6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20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轉投資成立子公司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THEVAX GENETICS VACCINE USA INC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.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，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實收資本額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美金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5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本公司為擴展營運，現金增資新台幣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150,000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，增資後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實收資本額新台幣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770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  <w:p w:rsidR="00993B55" w:rsidRPr="00D71AB7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本公司為擴展營運，現金增資</w:t>
                  </w:r>
                  <w:r w:rsidRPr="00C05F02">
                    <w:rPr>
                      <w:rFonts w:eastAsia="標楷體" w:hint="eastAsia"/>
                      <w:sz w:val="24"/>
                      <w:szCs w:val="24"/>
                    </w:rPr>
                    <w:t>發行新股</w:t>
                  </w:r>
                  <w:r w:rsidRPr="00DD2AFB">
                    <w:rPr>
                      <w:rFonts w:eastAsia="標楷體"/>
                      <w:sz w:val="24"/>
                      <w:szCs w:val="24"/>
                    </w:rPr>
                    <w:t xml:space="preserve">12,500 </w:t>
                  </w:r>
                  <w:r w:rsidRPr="00DD2AFB">
                    <w:rPr>
                      <w:rFonts w:eastAsia="標楷體" w:hint="eastAsia"/>
                      <w:sz w:val="24"/>
                      <w:szCs w:val="24"/>
                    </w:rPr>
                    <w:t>仟股，每股</w:t>
                  </w:r>
                  <w:r w:rsidRPr="00C05F02">
                    <w:rPr>
                      <w:rFonts w:eastAsia="標楷體" w:hint="eastAsia"/>
                      <w:sz w:val="24"/>
                      <w:szCs w:val="24"/>
                    </w:rPr>
                    <w:t>金額</w:t>
                  </w:r>
                  <w:r w:rsidRPr="00DD2AFB">
                    <w:rPr>
                      <w:rFonts w:eastAsia="標楷體"/>
                      <w:sz w:val="24"/>
                      <w:szCs w:val="24"/>
                    </w:rPr>
                    <w:t>60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元，增資後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實收資本額新台幣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895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,000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  <w:p w:rsidR="00993B55" w:rsidRPr="00FA7FDB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依據「生技新藥發展條例」，本公司獲經濟部審定為生技新藥公司。</w:t>
                  </w:r>
                </w:p>
                <w:p w:rsidR="00993B55" w:rsidRPr="00FA7FDB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子公司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THEVAX GENETICS VACCINE USA INC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.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，現金增資美金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5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，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實收資本額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美金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1,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000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仟元。</w:t>
                  </w:r>
                </w:p>
                <w:p w:rsidR="00993B55" w:rsidRPr="00FA7FDB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臨床批次在美國完成第二批</w:t>
                  </w:r>
                  <w:proofErr w:type="spellStart"/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cGMP</w:t>
                  </w:r>
                  <w:proofErr w:type="spellEnd"/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生產。</w:t>
                  </w:r>
                </w:p>
                <w:p w:rsidR="00993B55" w:rsidRPr="00FA7FDB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在美國完成第一期人體臨床試驗證明其疫苗安全性。</w:t>
                  </w:r>
                </w:p>
                <w:p w:rsidR="00993B55" w:rsidRPr="00CF1A31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D71AB7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正式向台灣衛生福利部食品藥物管理署</w:t>
                  </w:r>
                  <w:r w:rsidRPr="00D71AB7">
                    <w:rPr>
                      <w:rFonts w:eastAsia="標楷體"/>
                      <w:sz w:val="24"/>
                      <w:szCs w:val="24"/>
                    </w:rPr>
                    <w:t>(TFDA)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申請第一期人體臨床試驗。</w:t>
                  </w:r>
                </w:p>
              </w:tc>
            </w:tr>
            <w:tr w:rsidR="00993B55" w:rsidRPr="00CF1A31" w:rsidTr="0057500E">
              <w:trPr>
                <w:trHeight w:val="330"/>
              </w:trPr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993B55" w:rsidRPr="00CF1A31" w:rsidRDefault="00993B55" w:rsidP="0057500E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D71AB7">
                    <w:rPr>
                      <w:rFonts w:eastAsia="標楷體" w:hint="eastAsia"/>
                      <w:bCs/>
                    </w:rPr>
                    <w:lastRenderedPageBreak/>
                    <w:t>民國</w:t>
                  </w:r>
                  <w:r w:rsidRPr="00D71AB7">
                    <w:rPr>
                      <w:rFonts w:eastAsia="標楷體" w:hint="eastAsia"/>
                      <w:bCs/>
                    </w:rPr>
                    <w:t>104</w:t>
                  </w:r>
                  <w:r w:rsidRPr="00D71AB7">
                    <w:rPr>
                      <w:rFonts w:eastAsia="標楷體" w:hint="eastAsia"/>
                      <w:bCs/>
                    </w:rPr>
                    <w:t>年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993B55" w:rsidRPr="00FA7FDB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本公司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與農業科技研究院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(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前身</w:t>
                  </w:r>
                  <w:proofErr w:type="gramStart"/>
                  <w:r w:rsidRPr="00FA7FDB">
                    <w:rPr>
                      <w:rFonts w:eastAsia="標楷體"/>
                      <w:sz w:val="24"/>
                      <w:szCs w:val="24"/>
                    </w:rPr>
                    <w:t>為動科所</w:t>
                  </w:r>
                  <w:proofErr w:type="gramEnd"/>
                  <w:r w:rsidRPr="00FA7FDB">
                    <w:rPr>
                      <w:rFonts w:eastAsia="標楷體"/>
                      <w:sz w:val="24"/>
                      <w:szCs w:val="24"/>
                    </w:rPr>
                    <w:t>)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簽訂「專利授權契約書」，再次確立</w:t>
                  </w: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開發之權利基礎。</w:t>
                  </w:r>
                </w:p>
                <w:p w:rsidR="00993B55" w:rsidRPr="00FA7FDB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獲得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TFDA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核准公文，啟動台灣第一期人體臨床試驗。</w:t>
                  </w:r>
                </w:p>
                <w:p w:rsidR="00993B55" w:rsidRPr="00FA7FDB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獲得美國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FDA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正式回覆，准予進入美國第二期人體臨床試驗。</w:t>
                  </w:r>
                </w:p>
                <w:p w:rsidR="00993B55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sz w:val="24"/>
                      <w:szCs w:val="24"/>
                    </w:rPr>
                  </w:pPr>
                  <w:r w:rsidRPr="00FA7FDB">
                    <w:rPr>
                      <w:rFonts w:eastAsia="標楷體"/>
                      <w:sz w:val="24"/>
                      <w:szCs w:val="24"/>
                    </w:rPr>
                    <w:t>第二及三代疫苗技術平台獲得經濟部智慧財產局核准專利。</w:t>
                  </w:r>
                </w:p>
                <w:p w:rsidR="00993B55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A7FD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本公司設立竹北分公司</w:t>
                  </w:r>
                  <w:r w:rsidRPr="004A3546">
                    <w:rPr>
                      <w:rFonts w:eastAsia="標楷體" w:hint="eastAsia"/>
                      <w:sz w:val="24"/>
                      <w:szCs w:val="24"/>
                    </w:rPr>
                    <w:t>進駐新竹生物醫學園區。</w:t>
                  </w:r>
                </w:p>
                <w:p w:rsidR="00993B55" w:rsidRPr="009F2C5F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eastAsia="標楷體"/>
                      <w:sz w:val="24"/>
                      <w:szCs w:val="24"/>
                    </w:rPr>
                    <w:t>子宮頸癌及其癌前病變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治療型</w:t>
                  </w:r>
                  <w:r w:rsidRPr="00FA7FDB">
                    <w:rPr>
                      <w:rFonts w:eastAsia="標楷體" w:hint="eastAsia"/>
                      <w:sz w:val="24"/>
                      <w:szCs w:val="24"/>
                    </w:rPr>
                    <w:t>單價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疫苗</w:t>
                  </w:r>
                  <w:r w:rsidRPr="00FA7FDB">
                    <w:rPr>
                      <w:rFonts w:eastAsia="標楷體"/>
                      <w:sz w:val="24"/>
                      <w:szCs w:val="24"/>
                    </w:rPr>
                    <w:t>TVGV-1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榮獲第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12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屆國家新創獎。</w:t>
                  </w:r>
                </w:p>
                <w:p w:rsidR="00993B55" w:rsidRPr="00CF1A31" w:rsidRDefault="00993B55" w:rsidP="00993B55">
                  <w:pPr>
                    <w:pStyle w:val="af0"/>
                    <w:numPr>
                      <w:ilvl w:val="0"/>
                      <w:numId w:val="1"/>
                    </w:numPr>
                    <w:autoSpaceDE w:val="0"/>
                    <w:autoSpaceDN w:val="0"/>
                    <w:ind w:leftChars="0" w:left="230" w:hanging="230"/>
                    <w:textAlignment w:val="bottom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sz w:val="24"/>
                      <w:szCs w:val="24"/>
                    </w:rPr>
                    <w:t>本公司奉准公開發行。</w:t>
                  </w:r>
                </w:p>
              </w:tc>
            </w:tr>
          </w:tbl>
          <w:p w:rsidR="00993B55" w:rsidRDefault="00993B55" w:rsidP="0057500E">
            <w:pPr>
              <w:jc w:val="both"/>
              <w:rPr>
                <w:rStyle w:val="HTML1"/>
                <w:rFonts w:eastAsia="標楷體"/>
                <w:szCs w:val="12"/>
              </w:rPr>
            </w:pPr>
          </w:p>
          <w:p w:rsidR="00993B55" w:rsidRDefault="00993B55" w:rsidP="0057500E">
            <w:pPr>
              <w:spacing w:line="360" w:lineRule="exact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經營理念</w:t>
            </w:r>
          </w:p>
          <w:p w:rsidR="00993B55" w:rsidRPr="00A07C50" w:rsidRDefault="00993B55" w:rsidP="0057500E">
            <w:pPr>
              <w:pStyle w:val="HTML"/>
              <w:spacing w:line="360" w:lineRule="exact"/>
              <w:ind w:leftChars="75" w:left="180" w:rightChars="63" w:right="151" w:firstLineChars="200" w:firstLine="560"/>
              <w:jc w:val="both"/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</w:pPr>
            <w:r w:rsidRPr="00A07C50">
              <w:rPr>
                <w:rFonts w:ascii="Times New Roman" w:eastAsia="標楷體"/>
                <w:spacing w:val="20"/>
                <w:kern w:val="24"/>
                <w:sz w:val="24"/>
                <w:szCs w:val="24"/>
              </w:rPr>
              <w:t>以</w:t>
            </w:r>
            <w:r w:rsidRPr="00A07C50">
              <w:rPr>
                <w:rFonts w:ascii="Times New Roman" w:eastAsia="標楷體"/>
                <w:spacing w:val="20"/>
                <w:kern w:val="24"/>
                <w:sz w:val="24"/>
                <w:szCs w:val="24"/>
              </w:rPr>
              <w:t>“</w:t>
            </w:r>
            <w:r w:rsidRPr="00A07C50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正直、積極、創新、紀律、卓越</w:t>
            </w:r>
            <w:r w:rsidRPr="00A07C50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”</w:t>
            </w:r>
            <w:r w:rsidRPr="00A07C50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為經營理念，並以</w:t>
            </w:r>
            <w:r w:rsidRPr="00A07C50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“</w:t>
            </w:r>
            <w:r w:rsidRPr="00A07C50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發揮免疫療法的潛力，持續提供疾病治療的最佳解決方案</w:t>
            </w:r>
            <w:r w:rsidRPr="00A07C50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”</w:t>
            </w:r>
            <w:r w:rsidRPr="00A07C50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為公司願景，致力於促進全人類的健康福祉。</w:t>
            </w:r>
          </w:p>
          <w:p w:rsidR="00993B55" w:rsidRDefault="00993B55" w:rsidP="0057500E">
            <w:pPr>
              <w:jc w:val="both"/>
              <w:rPr>
                <w:rFonts w:eastAsia="標楷體"/>
                <w:b/>
                <w:kern w:val="0"/>
              </w:rPr>
            </w:pPr>
          </w:p>
          <w:p w:rsidR="00993B55" w:rsidRDefault="00993B55" w:rsidP="0057500E">
            <w:pPr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未來展望</w:t>
            </w:r>
          </w:p>
          <w:p w:rsidR="00993B55" w:rsidRPr="00C84F77" w:rsidRDefault="00993B55" w:rsidP="00993B55">
            <w:pPr>
              <w:pStyle w:val="HTML"/>
              <w:numPr>
                <w:ilvl w:val="0"/>
                <w:numId w:val="2"/>
              </w:numPr>
              <w:spacing w:line="360" w:lineRule="exact"/>
              <w:ind w:left="924" w:rightChars="63" w:right="151" w:hanging="408"/>
              <w:jc w:val="both"/>
              <w:rPr>
                <w:rFonts w:ascii="Times New Roman" w:eastAsia="標楷體" w:hAnsi="Times New Roman" w:cs="Times New Roman"/>
                <w:spacing w:val="20"/>
                <w:kern w:val="24"/>
                <w:sz w:val="24"/>
                <w:szCs w:val="24"/>
              </w:rPr>
            </w:pPr>
            <w:r w:rsidRPr="00C84F77">
              <w:rPr>
                <w:rStyle w:val="HTML1"/>
                <w:rFonts w:ascii="Times New Roman" w:eastAsia="標楷體" w:hAnsi="Times New Roman" w:cs="Times New Roman"/>
                <w:sz w:val="24"/>
                <w:szCs w:val="12"/>
              </w:rPr>
              <w:t>持續</w:t>
            </w:r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子宮頸癌治療型單價疫苗</w:t>
            </w:r>
            <w:r w:rsidRPr="00C84F77">
              <w:rPr>
                <w:rFonts w:ascii="Times New Roman" w:eastAsia="標楷體" w:hAnsi="Times New Roman" w:cs="Times New Roman"/>
                <w:spacing w:val="20"/>
                <w:kern w:val="24"/>
                <w:sz w:val="24"/>
                <w:szCs w:val="24"/>
              </w:rPr>
              <w:t>TVGV-1</w:t>
            </w:r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與國際大廠之授權後合作，陸續取得階段達成金與銷售權利金，穩定公司收入來源。</w:t>
            </w:r>
          </w:p>
          <w:p w:rsidR="00993B55" w:rsidRPr="00C84F77" w:rsidRDefault="00993B55" w:rsidP="00993B55">
            <w:pPr>
              <w:pStyle w:val="HTML"/>
              <w:numPr>
                <w:ilvl w:val="0"/>
                <w:numId w:val="2"/>
              </w:numPr>
              <w:spacing w:line="360" w:lineRule="exact"/>
              <w:ind w:left="924" w:rightChars="63" w:right="151" w:hanging="408"/>
              <w:jc w:val="both"/>
              <w:rPr>
                <w:rFonts w:ascii="Times New Roman" w:eastAsia="標楷體" w:hAnsi="Times New Roman" w:cs="Times New Roman"/>
                <w:spacing w:val="20"/>
                <w:kern w:val="24"/>
                <w:sz w:val="24"/>
                <w:szCs w:val="24"/>
              </w:rPr>
            </w:pPr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全面拓展產品線，投</w:t>
            </w:r>
            <w:r w:rsidRPr="00F84A52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入</w:t>
            </w:r>
            <w:r w:rsidRPr="00F84A52">
              <w:rPr>
                <w:rFonts w:ascii="Times New Roman" w:eastAsia="標楷體" w:cs="Times New Roman" w:hint="eastAsia"/>
                <w:spacing w:val="20"/>
                <w:kern w:val="24"/>
                <w:sz w:val="24"/>
                <w:szCs w:val="24"/>
              </w:rPr>
              <w:t>B</w:t>
            </w:r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型肝炎、</w:t>
            </w:r>
            <w:proofErr w:type="gramStart"/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廣效性流</w:t>
            </w:r>
            <w:proofErr w:type="gramEnd"/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感、癌症之治療型疫苗研發。</w:t>
            </w:r>
          </w:p>
          <w:p w:rsidR="00993B55" w:rsidRPr="00C84F77" w:rsidRDefault="00993B55" w:rsidP="00993B55">
            <w:pPr>
              <w:pStyle w:val="HTML"/>
              <w:numPr>
                <w:ilvl w:val="0"/>
                <w:numId w:val="2"/>
              </w:numPr>
              <w:spacing w:line="360" w:lineRule="exact"/>
              <w:ind w:left="924" w:rightChars="63" w:right="151" w:hanging="408"/>
              <w:jc w:val="both"/>
              <w:rPr>
                <w:rFonts w:ascii="Times New Roman" w:eastAsia="標楷體" w:hAnsi="Times New Roman" w:cs="Times New Roman"/>
                <w:spacing w:val="20"/>
                <w:kern w:val="24"/>
                <w:sz w:val="24"/>
                <w:szCs w:val="24"/>
              </w:rPr>
            </w:pPr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持續與國內外學</w:t>
            </w:r>
            <w:proofErr w:type="gramStart"/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研</w:t>
            </w:r>
            <w:proofErr w:type="gramEnd"/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單位合作，尋找符合公司研發策略與核心技術之藥物開發標的。</w:t>
            </w:r>
          </w:p>
          <w:p w:rsidR="00993B55" w:rsidRPr="00C84F77" w:rsidRDefault="00993B55" w:rsidP="00993B55">
            <w:pPr>
              <w:pStyle w:val="HTML"/>
              <w:numPr>
                <w:ilvl w:val="0"/>
                <w:numId w:val="2"/>
              </w:numPr>
              <w:spacing w:line="360" w:lineRule="exact"/>
              <w:ind w:left="924" w:rightChars="63" w:right="151" w:hanging="408"/>
              <w:jc w:val="both"/>
              <w:rPr>
                <w:rFonts w:ascii="Times New Roman" w:eastAsia="標楷體" w:hAnsi="Times New Roman" w:cs="Times New Roman"/>
                <w:spacing w:val="20"/>
                <w:kern w:val="24"/>
                <w:sz w:val="24"/>
                <w:szCs w:val="24"/>
              </w:rPr>
            </w:pPr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深化培植新藥產業所需之研究開發、法規審查與國際授權人才，提升台灣本土新藥開發之產業競爭力。</w:t>
            </w:r>
          </w:p>
          <w:p w:rsidR="00993B55" w:rsidRPr="00004F00" w:rsidRDefault="00993B55" w:rsidP="00993B55">
            <w:pPr>
              <w:pStyle w:val="HTML"/>
              <w:numPr>
                <w:ilvl w:val="0"/>
                <w:numId w:val="2"/>
              </w:numPr>
              <w:spacing w:line="360" w:lineRule="exact"/>
              <w:ind w:left="924" w:rightChars="63" w:right="151" w:hanging="408"/>
              <w:jc w:val="both"/>
              <w:rPr>
                <w:rFonts w:ascii="Times New Roman" w:eastAsia="標楷體" w:hAnsi="Times New Roman" w:cs="Times New Roman"/>
                <w:szCs w:val="12"/>
              </w:rPr>
            </w:pPr>
            <w:r w:rsidRPr="00C84F77">
              <w:rPr>
                <w:rFonts w:ascii="Times New Roman" w:eastAsia="標楷體" w:cs="Times New Roman"/>
                <w:spacing w:val="20"/>
                <w:kern w:val="24"/>
                <w:sz w:val="24"/>
                <w:szCs w:val="24"/>
              </w:rPr>
              <w:t>朝向世界級生技新藥公司的願景前進，成為特殊癌症與感染症疾病治療的國際領導者。</w:t>
            </w:r>
          </w:p>
          <w:p w:rsidR="00993B55" w:rsidRPr="00C84F77" w:rsidRDefault="00993B55" w:rsidP="0057500E">
            <w:pPr>
              <w:pStyle w:val="HTML"/>
              <w:spacing w:line="360" w:lineRule="exact"/>
              <w:ind w:left="924" w:rightChars="63" w:right="151"/>
              <w:jc w:val="both"/>
              <w:rPr>
                <w:rStyle w:val="HTML1"/>
                <w:rFonts w:ascii="Times New Roman" w:eastAsia="標楷體" w:hAnsi="Times New Roman" w:cs="Times New Roman"/>
                <w:szCs w:val="12"/>
              </w:rPr>
            </w:pPr>
          </w:p>
          <w:p w:rsidR="00993B55" w:rsidRPr="00A261B6" w:rsidRDefault="00993B55" w:rsidP="0057500E">
            <w:pPr>
              <w:spacing w:line="240" w:lineRule="exact"/>
              <w:ind w:leftChars="75" w:left="180" w:rightChars="63" w:right="151" w:firstLineChars="180" w:firstLine="432"/>
              <w:jc w:val="both"/>
              <w:rPr>
                <w:rFonts w:eastAsia="標楷體"/>
              </w:rPr>
            </w:pPr>
          </w:p>
        </w:tc>
      </w:tr>
    </w:tbl>
    <w:p w:rsidR="00993B55" w:rsidRPr="00A261B6" w:rsidRDefault="00993B55" w:rsidP="00993B55">
      <w:pPr>
        <w:jc w:val="both"/>
        <w:rPr>
          <w:rFonts w:eastAsia="標楷體"/>
        </w:rPr>
      </w:pPr>
      <w:r w:rsidRPr="00A261B6">
        <w:rPr>
          <w:rFonts w:eastAsia="標楷體"/>
        </w:rPr>
        <w:lastRenderedPageBreak/>
        <w:t xml:space="preserve">                                                                          </w:t>
      </w:r>
      <w:r>
        <w:rPr>
          <w:rFonts w:eastAsia="標楷體"/>
          <w:noProof/>
        </w:rPr>
        <w:drawing>
          <wp:inline distT="0" distB="0" distL="0" distR="0">
            <wp:extent cx="409575" cy="152400"/>
            <wp:effectExtent l="19050" t="0" r="9525" b="0"/>
            <wp:docPr id="2" name="圖片 2" descr="icon_to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4"/>
        <w:gridCol w:w="1354"/>
        <w:gridCol w:w="4140"/>
        <w:gridCol w:w="1800"/>
        <w:gridCol w:w="1260"/>
      </w:tblGrid>
      <w:tr w:rsidR="00993B55" w:rsidRPr="00A261B6" w:rsidTr="0057500E">
        <w:trPr>
          <w:cantSplit/>
        </w:trPr>
        <w:tc>
          <w:tcPr>
            <w:tcW w:w="9568" w:type="dxa"/>
            <w:gridSpan w:val="5"/>
          </w:tcPr>
          <w:p w:rsidR="00993B55" w:rsidRPr="00A261B6" w:rsidRDefault="004D4E2A" w:rsidP="004208BA">
            <w:pPr>
              <w:spacing w:beforeLines="50"/>
              <w:rPr>
                <w:rFonts w:eastAsia="標楷體"/>
                <w:b/>
                <w:bCs/>
              </w:rPr>
            </w:pPr>
            <w:bookmarkStart w:id="3" w:name="主要業務項目"/>
            <w:bookmarkEnd w:id="3"/>
            <w:r w:rsidRPr="004D4E2A">
              <w:rPr>
                <w:rFonts w:eastAsia="標楷體"/>
                <w:noProof/>
                <w:sz w:val="20"/>
                <w:szCs w:val="26"/>
              </w:rPr>
              <w:pict>
                <v:shape id="_x0000_s1028" type="#_x0000_t202" style="position:absolute;margin-left:-1.1pt;margin-top:-.45pt;width:477pt;height:44.45pt;z-index:-251654144" fillcolor="#ededed" stroked="f">
                  <v:fill rotate="t" focus="50%" type="gradient"/>
                  <v:textbox style="mso-next-textbox:#_x0000_s1028">
                    <w:txbxContent>
                      <w:p w:rsidR="00993B55" w:rsidRDefault="00993B55" w:rsidP="00993B55"/>
                    </w:txbxContent>
                  </v:textbox>
                </v:shape>
              </w:pict>
            </w:r>
            <w:r w:rsidR="00993B55" w:rsidRPr="00A261B6">
              <w:rPr>
                <w:rFonts w:eastAsia="標楷體" w:hAnsi="標楷體"/>
                <w:b/>
                <w:bCs/>
              </w:rPr>
              <w:t>主要業務項目：</w:t>
            </w:r>
          </w:p>
          <w:p w:rsidR="00993B55" w:rsidRPr="00A261B6" w:rsidRDefault="00993B55" w:rsidP="004208BA">
            <w:pPr>
              <w:spacing w:afterLines="50" w:line="300" w:lineRule="exact"/>
              <w:ind w:firstLineChars="200" w:firstLine="480"/>
              <w:rPr>
                <w:rFonts w:eastAsia="標楷體"/>
                <w:sz w:val="20"/>
              </w:rPr>
            </w:pPr>
            <w:r w:rsidRPr="00F62E93">
              <w:rPr>
                <w:rFonts w:eastAsia="標楷體" w:hAnsi="標楷體"/>
                <w:snapToGrid w:val="0"/>
              </w:rPr>
              <w:t>主要係從事人用疫苗之研究開發</w:t>
            </w:r>
            <w:r>
              <w:rPr>
                <w:rFonts w:eastAsia="標楷體" w:hAnsi="標楷體" w:hint="eastAsia"/>
                <w:snapToGrid w:val="0"/>
              </w:rPr>
              <w:t>及銷售</w:t>
            </w:r>
            <w:r w:rsidRPr="00F62E93">
              <w:rPr>
                <w:rFonts w:eastAsia="標楷體" w:hAnsi="標楷體"/>
                <w:snapToGrid w:val="0"/>
              </w:rPr>
              <w:t>。</w:t>
            </w:r>
          </w:p>
        </w:tc>
      </w:tr>
      <w:tr w:rsidR="00993B55" w:rsidRPr="00A261B6" w:rsidTr="0057500E">
        <w:trPr>
          <w:cantSplit/>
        </w:trPr>
        <w:tc>
          <w:tcPr>
            <w:tcW w:w="9568" w:type="dxa"/>
            <w:gridSpan w:val="5"/>
            <w:vAlign w:val="center"/>
          </w:tcPr>
          <w:p w:rsidR="00993B55" w:rsidRPr="00F62E93" w:rsidRDefault="00993B55" w:rsidP="0057500E">
            <w:pPr>
              <w:jc w:val="both"/>
              <w:rPr>
                <w:rFonts w:eastAsia="標楷體"/>
                <w:szCs w:val="26"/>
              </w:rPr>
            </w:pPr>
            <w:r w:rsidRPr="00F62E93">
              <w:rPr>
                <w:rFonts w:eastAsia="標楷體" w:hAnsi="標楷體"/>
                <w:szCs w:val="26"/>
              </w:rPr>
              <w:lastRenderedPageBreak/>
              <w:t>公司所屬產業之上、中、下游結構圖：</w:t>
            </w:r>
          </w:p>
          <w:p w:rsidR="00993B55" w:rsidRPr="00A261B6" w:rsidRDefault="00993B55" w:rsidP="0057500E">
            <w:pPr>
              <w:jc w:val="center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noProof/>
                <w:sz w:val="20"/>
                <w:szCs w:val="26"/>
              </w:rPr>
              <w:drawing>
                <wp:inline distT="0" distB="0" distL="0" distR="0">
                  <wp:extent cx="5200650" cy="1695450"/>
                  <wp:effectExtent l="19050" t="0" r="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55" w:rsidRPr="00F84A52" w:rsidTr="0057500E">
        <w:tc>
          <w:tcPr>
            <w:tcW w:w="1014" w:type="dxa"/>
            <w:shd w:val="clear" w:color="auto" w:fill="F9F9F9"/>
            <w:vAlign w:val="center"/>
          </w:tcPr>
          <w:p w:rsidR="00993B55" w:rsidRPr="00F84A52" w:rsidRDefault="00993B55" w:rsidP="0057500E">
            <w:pPr>
              <w:snapToGrid w:val="0"/>
              <w:spacing w:line="300" w:lineRule="exact"/>
              <w:jc w:val="distribute"/>
              <w:rPr>
                <w:rFonts w:eastAsia="標楷體"/>
                <w:sz w:val="20"/>
                <w:szCs w:val="26"/>
              </w:rPr>
            </w:pPr>
            <w:r w:rsidRPr="00F84A52">
              <w:rPr>
                <w:rFonts w:eastAsia="標楷體" w:hAnsi="標楷體"/>
                <w:sz w:val="20"/>
                <w:szCs w:val="26"/>
              </w:rPr>
              <w:t>產品名稱</w:t>
            </w:r>
          </w:p>
        </w:tc>
        <w:tc>
          <w:tcPr>
            <w:tcW w:w="1354" w:type="dxa"/>
            <w:shd w:val="clear" w:color="auto" w:fill="F9F9F9"/>
            <w:vAlign w:val="center"/>
          </w:tcPr>
          <w:p w:rsidR="00993B55" w:rsidRPr="00F84A52" w:rsidRDefault="00993B55" w:rsidP="0057500E">
            <w:pPr>
              <w:pStyle w:val="a3"/>
              <w:spacing w:line="300" w:lineRule="exact"/>
              <w:rPr>
                <w:sz w:val="20"/>
                <w:szCs w:val="26"/>
              </w:rPr>
            </w:pPr>
            <w:r w:rsidRPr="00F84A52">
              <w:rPr>
                <w:rFonts w:hAnsi="標楷體"/>
                <w:sz w:val="20"/>
                <w:szCs w:val="26"/>
              </w:rPr>
              <w:t>產品圖示</w:t>
            </w:r>
          </w:p>
          <w:p w:rsidR="00993B55" w:rsidRPr="00F84A52" w:rsidRDefault="00993B55" w:rsidP="0057500E">
            <w:pPr>
              <w:pStyle w:val="a3"/>
              <w:spacing w:line="300" w:lineRule="exact"/>
              <w:rPr>
                <w:sz w:val="20"/>
                <w:szCs w:val="26"/>
              </w:rPr>
            </w:pPr>
            <w:r w:rsidRPr="00F84A52">
              <w:rPr>
                <w:rFonts w:hAnsi="標楷體"/>
                <w:sz w:val="20"/>
                <w:szCs w:val="26"/>
              </w:rPr>
              <w:t>及介紹</w:t>
            </w:r>
          </w:p>
        </w:tc>
        <w:tc>
          <w:tcPr>
            <w:tcW w:w="4140" w:type="dxa"/>
            <w:shd w:val="clear" w:color="auto" w:fill="F9F9F9"/>
            <w:vAlign w:val="center"/>
          </w:tcPr>
          <w:p w:rsidR="00993B55" w:rsidRPr="00F84A52" w:rsidRDefault="00993B55" w:rsidP="0057500E">
            <w:pPr>
              <w:pStyle w:val="a3"/>
              <w:spacing w:line="300" w:lineRule="exact"/>
              <w:rPr>
                <w:sz w:val="20"/>
                <w:szCs w:val="26"/>
              </w:rPr>
            </w:pPr>
            <w:r w:rsidRPr="00F84A52">
              <w:rPr>
                <w:rFonts w:hAnsi="標楷體"/>
                <w:sz w:val="20"/>
                <w:szCs w:val="26"/>
              </w:rPr>
              <w:t>重要用途或功能</w:t>
            </w:r>
          </w:p>
        </w:tc>
        <w:tc>
          <w:tcPr>
            <w:tcW w:w="1800" w:type="dxa"/>
            <w:shd w:val="clear" w:color="auto" w:fill="F9F9F9"/>
          </w:tcPr>
          <w:p w:rsidR="00993B55" w:rsidRPr="00F84A52" w:rsidRDefault="00993B55" w:rsidP="0057500E">
            <w:pPr>
              <w:jc w:val="center"/>
              <w:rPr>
                <w:rFonts w:eastAsia="標楷體"/>
                <w:sz w:val="20"/>
                <w:szCs w:val="26"/>
              </w:rPr>
            </w:pPr>
            <w:r w:rsidRPr="00F84A52">
              <w:rPr>
                <w:rFonts w:eastAsia="標楷體" w:hAnsi="標楷體"/>
                <w:sz w:val="20"/>
              </w:rPr>
              <w:t>最近</w:t>
            </w:r>
            <w:proofErr w:type="gramStart"/>
            <w:r w:rsidRPr="00F84A52">
              <w:rPr>
                <w:rFonts w:eastAsia="標楷體" w:hAnsi="標楷體"/>
                <w:sz w:val="20"/>
              </w:rPr>
              <w:t>一</w:t>
            </w:r>
            <w:proofErr w:type="gramEnd"/>
            <w:r w:rsidRPr="00F84A52">
              <w:rPr>
                <w:rFonts w:eastAsia="標楷體" w:hAnsi="標楷體"/>
                <w:sz w:val="20"/>
              </w:rPr>
              <w:t>年度</w:t>
            </w:r>
          </w:p>
          <w:p w:rsidR="00993B55" w:rsidRPr="00F84A52" w:rsidRDefault="00993B55" w:rsidP="0057500E">
            <w:pPr>
              <w:jc w:val="center"/>
              <w:rPr>
                <w:rFonts w:eastAsia="標楷體"/>
                <w:sz w:val="20"/>
              </w:rPr>
            </w:pPr>
            <w:r w:rsidRPr="00F84A52">
              <w:rPr>
                <w:rFonts w:eastAsia="標楷體" w:hAnsi="標楷體"/>
                <w:sz w:val="20"/>
                <w:szCs w:val="26"/>
              </w:rPr>
              <w:t>營收金額</w:t>
            </w:r>
            <w:r w:rsidRPr="00F84A52">
              <w:rPr>
                <w:rFonts w:eastAsia="標楷體"/>
                <w:sz w:val="20"/>
                <w:szCs w:val="26"/>
              </w:rPr>
              <w:t>(</w:t>
            </w:r>
            <w:r w:rsidRPr="00F84A52">
              <w:rPr>
                <w:rFonts w:eastAsia="標楷體" w:hAnsi="標楷體"/>
                <w:sz w:val="20"/>
                <w:szCs w:val="26"/>
              </w:rPr>
              <w:t>仟元</w:t>
            </w:r>
            <w:r w:rsidRPr="00F84A52">
              <w:rPr>
                <w:rFonts w:eastAsia="標楷體"/>
                <w:sz w:val="20"/>
                <w:szCs w:val="26"/>
              </w:rPr>
              <w:t>)</w:t>
            </w:r>
          </w:p>
        </w:tc>
        <w:tc>
          <w:tcPr>
            <w:tcW w:w="1260" w:type="dxa"/>
            <w:shd w:val="clear" w:color="auto" w:fill="F9F9F9"/>
          </w:tcPr>
          <w:p w:rsidR="00993B55" w:rsidRPr="00F84A52" w:rsidRDefault="00993B55" w:rsidP="0057500E">
            <w:pPr>
              <w:jc w:val="center"/>
              <w:rPr>
                <w:rFonts w:eastAsia="標楷體"/>
                <w:sz w:val="20"/>
                <w:szCs w:val="26"/>
              </w:rPr>
            </w:pPr>
            <w:proofErr w:type="gramStart"/>
            <w:r w:rsidRPr="00F84A52">
              <w:rPr>
                <w:rFonts w:eastAsia="標楷體" w:hAnsi="標楷體"/>
                <w:sz w:val="20"/>
                <w:szCs w:val="26"/>
              </w:rPr>
              <w:t>佔</w:t>
            </w:r>
            <w:proofErr w:type="gramEnd"/>
            <w:r w:rsidRPr="00F84A52">
              <w:rPr>
                <w:rFonts w:eastAsia="標楷體" w:hAnsi="標楷體"/>
                <w:sz w:val="20"/>
                <w:szCs w:val="26"/>
              </w:rPr>
              <w:t>總營收</w:t>
            </w:r>
          </w:p>
          <w:p w:rsidR="00993B55" w:rsidRPr="00F84A52" w:rsidRDefault="00993B55" w:rsidP="0057500E">
            <w:pPr>
              <w:jc w:val="center"/>
              <w:rPr>
                <w:rFonts w:eastAsia="標楷體"/>
                <w:sz w:val="20"/>
              </w:rPr>
            </w:pPr>
            <w:r w:rsidRPr="00F84A52">
              <w:rPr>
                <w:rFonts w:eastAsia="標楷體" w:hAnsi="標楷體"/>
                <w:sz w:val="20"/>
                <w:szCs w:val="26"/>
              </w:rPr>
              <w:t>比重</w:t>
            </w:r>
            <w:r w:rsidRPr="00F84A52">
              <w:rPr>
                <w:rFonts w:eastAsia="標楷體"/>
                <w:sz w:val="20"/>
                <w:szCs w:val="26"/>
              </w:rPr>
              <w:t>(%)</w:t>
            </w:r>
          </w:p>
        </w:tc>
      </w:tr>
      <w:tr w:rsidR="00993B55" w:rsidRPr="00F84A52" w:rsidTr="0057500E">
        <w:tc>
          <w:tcPr>
            <w:tcW w:w="1014" w:type="dxa"/>
            <w:vAlign w:val="center"/>
          </w:tcPr>
          <w:p w:rsidR="00993B55" w:rsidRPr="00F84A52" w:rsidRDefault="00993B55" w:rsidP="0057500E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84A52">
              <w:rPr>
                <w:rFonts w:eastAsia="標楷體" w:hint="eastAsia"/>
                <w:sz w:val="20"/>
                <w:szCs w:val="20"/>
              </w:rPr>
              <w:t>TVGV-1</w:t>
            </w:r>
          </w:p>
        </w:tc>
        <w:tc>
          <w:tcPr>
            <w:tcW w:w="1354" w:type="dxa"/>
            <w:vAlign w:val="center"/>
          </w:tcPr>
          <w:p w:rsidR="00993B55" w:rsidRPr="00F84A52" w:rsidRDefault="00993B55" w:rsidP="0057500E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  <w:r w:rsidRPr="00F84A52">
              <w:rPr>
                <w:rFonts w:eastAsia="標楷體"/>
                <w:spacing w:val="20"/>
                <w:sz w:val="20"/>
                <w:szCs w:val="20"/>
              </w:rPr>
              <w:t>子宮頸癌及其癌前病變治療型單價疫苗</w:t>
            </w:r>
          </w:p>
        </w:tc>
        <w:tc>
          <w:tcPr>
            <w:tcW w:w="4140" w:type="dxa"/>
            <w:vAlign w:val="center"/>
          </w:tcPr>
          <w:p w:rsidR="00993B55" w:rsidRPr="00F84A52" w:rsidRDefault="00993B55" w:rsidP="0057500E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84A52">
              <w:rPr>
                <w:rFonts w:eastAsia="標楷體" w:hint="eastAsia"/>
                <w:sz w:val="20"/>
                <w:szCs w:val="20"/>
              </w:rPr>
              <w:t>針對受</w:t>
            </w:r>
            <w:r w:rsidRPr="00F84A52">
              <w:rPr>
                <w:rFonts w:eastAsia="標楷體" w:hint="eastAsia"/>
                <w:sz w:val="20"/>
                <w:szCs w:val="20"/>
              </w:rPr>
              <w:t>16</w:t>
            </w:r>
            <w:r w:rsidRPr="00F84A52">
              <w:rPr>
                <w:rFonts w:eastAsia="標楷體" w:hint="eastAsia"/>
                <w:sz w:val="20"/>
                <w:szCs w:val="20"/>
              </w:rPr>
              <w:t>型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人類乳突病毒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 xml:space="preserve">(Human </w:t>
            </w:r>
            <w:proofErr w:type="spellStart"/>
            <w:r w:rsidRPr="00F84A52">
              <w:rPr>
                <w:rFonts w:eastAsia="標楷體"/>
                <w:spacing w:val="20"/>
                <w:sz w:val="20"/>
                <w:szCs w:val="20"/>
              </w:rPr>
              <w:t>Papillomavirus</w:t>
            </w:r>
            <w:proofErr w:type="spellEnd"/>
            <w:r w:rsidRPr="00F84A52">
              <w:rPr>
                <w:rFonts w:eastAsia="標楷體"/>
                <w:spacing w:val="20"/>
                <w:sz w:val="20"/>
                <w:szCs w:val="20"/>
              </w:rPr>
              <w:t>, HPV)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感染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而表現出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E7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抗原之病變細胞，驅動專一性細胞免疫反應以清除病變細胞，進而對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16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型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HPV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所導致的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子宮頸癌及其癌前病變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患者達到治療效果</w:t>
            </w:r>
          </w:p>
        </w:tc>
        <w:tc>
          <w:tcPr>
            <w:tcW w:w="180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rFonts w:hint="eastAsia"/>
                <w:color w:val="auto"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color w:val="auto"/>
                <w:sz w:val="20"/>
              </w:rPr>
              <w:t>0</w:t>
            </w:r>
          </w:p>
        </w:tc>
      </w:tr>
      <w:tr w:rsidR="00993B55" w:rsidRPr="00F84A52" w:rsidTr="0057500E">
        <w:tc>
          <w:tcPr>
            <w:tcW w:w="1014" w:type="dxa"/>
            <w:vAlign w:val="center"/>
          </w:tcPr>
          <w:p w:rsidR="00993B55" w:rsidRPr="00F84A52" w:rsidRDefault="00993B55" w:rsidP="0057500E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84A52">
              <w:rPr>
                <w:rFonts w:eastAsia="標楷體"/>
                <w:sz w:val="20"/>
                <w:szCs w:val="20"/>
              </w:rPr>
              <w:t>TVGV-2</w:t>
            </w:r>
          </w:p>
        </w:tc>
        <w:tc>
          <w:tcPr>
            <w:tcW w:w="1354" w:type="dxa"/>
            <w:vAlign w:val="center"/>
          </w:tcPr>
          <w:p w:rsidR="00993B55" w:rsidRPr="00F84A52" w:rsidRDefault="00993B55" w:rsidP="0057500E">
            <w:pPr>
              <w:snapToGrid w:val="0"/>
              <w:spacing w:line="240" w:lineRule="atLeast"/>
              <w:rPr>
                <w:rFonts w:eastAsia="標楷體"/>
                <w:spacing w:val="20"/>
                <w:sz w:val="20"/>
                <w:szCs w:val="20"/>
              </w:rPr>
            </w:pPr>
            <w:r w:rsidRPr="00F84A52">
              <w:rPr>
                <w:rFonts w:eastAsia="標楷體"/>
                <w:spacing w:val="20"/>
                <w:sz w:val="20"/>
                <w:szCs w:val="20"/>
              </w:rPr>
              <w:t>子宮頸癌及其癌前病變治療型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多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價疫苗</w:t>
            </w:r>
          </w:p>
        </w:tc>
        <w:tc>
          <w:tcPr>
            <w:tcW w:w="4140" w:type="dxa"/>
            <w:vAlign w:val="center"/>
          </w:tcPr>
          <w:p w:rsidR="00993B55" w:rsidRPr="00F84A52" w:rsidRDefault="00993B55" w:rsidP="0057500E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84A52">
              <w:rPr>
                <w:rFonts w:eastAsia="標楷體" w:hint="eastAsia"/>
                <w:sz w:val="20"/>
                <w:szCs w:val="20"/>
              </w:rPr>
              <w:t>針對受</w:t>
            </w:r>
            <w:r w:rsidRPr="00F84A52">
              <w:rPr>
                <w:rFonts w:eastAsia="標楷體" w:hint="eastAsia"/>
                <w:sz w:val="20"/>
                <w:szCs w:val="20"/>
              </w:rPr>
              <w:t>16</w:t>
            </w:r>
            <w:r w:rsidRPr="00F84A52">
              <w:rPr>
                <w:rFonts w:eastAsia="標楷體" w:hint="eastAsia"/>
                <w:sz w:val="20"/>
                <w:szCs w:val="20"/>
              </w:rPr>
              <w:t>、</w:t>
            </w:r>
            <w:r w:rsidRPr="00F84A52">
              <w:rPr>
                <w:rFonts w:eastAsia="標楷體" w:hint="eastAsia"/>
                <w:sz w:val="20"/>
                <w:szCs w:val="20"/>
              </w:rPr>
              <w:t>18</w:t>
            </w:r>
            <w:r w:rsidRPr="00F84A52">
              <w:rPr>
                <w:rFonts w:eastAsia="標楷體" w:hint="eastAsia"/>
                <w:sz w:val="20"/>
                <w:szCs w:val="20"/>
              </w:rPr>
              <w:t>型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人類乳突病毒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 xml:space="preserve">(Human </w:t>
            </w:r>
            <w:proofErr w:type="spellStart"/>
            <w:r w:rsidRPr="00F84A52">
              <w:rPr>
                <w:rFonts w:eastAsia="標楷體"/>
                <w:spacing w:val="20"/>
                <w:sz w:val="20"/>
                <w:szCs w:val="20"/>
              </w:rPr>
              <w:t>Papillomavirus</w:t>
            </w:r>
            <w:proofErr w:type="spellEnd"/>
            <w:r w:rsidRPr="00F84A52">
              <w:rPr>
                <w:rFonts w:eastAsia="標楷體"/>
                <w:spacing w:val="20"/>
                <w:sz w:val="20"/>
                <w:szCs w:val="20"/>
              </w:rPr>
              <w:t>, HPV)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感染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而表現出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E7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抗原之病變細胞，驅動專一性細胞免疫反應以清除病變細胞，對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16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、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18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型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HPV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所導致的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子宮頸癌及其癌前病變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患者達到治療效果</w:t>
            </w:r>
          </w:p>
        </w:tc>
        <w:tc>
          <w:tcPr>
            <w:tcW w:w="180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rFonts w:hint="eastAsia"/>
                <w:color w:val="auto"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color w:val="auto"/>
                <w:sz w:val="20"/>
              </w:rPr>
              <w:t>0</w:t>
            </w:r>
          </w:p>
        </w:tc>
      </w:tr>
      <w:tr w:rsidR="00993B55" w:rsidRPr="00F84A52" w:rsidTr="0057500E">
        <w:tc>
          <w:tcPr>
            <w:tcW w:w="1014" w:type="dxa"/>
            <w:vAlign w:val="center"/>
          </w:tcPr>
          <w:p w:rsidR="00993B55" w:rsidRPr="00F84A52" w:rsidRDefault="00993B55" w:rsidP="0057500E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84A52">
              <w:rPr>
                <w:rFonts w:eastAsia="標楷體" w:hint="eastAsia"/>
                <w:sz w:val="20"/>
                <w:szCs w:val="20"/>
              </w:rPr>
              <w:t>TVGV-3</w:t>
            </w:r>
          </w:p>
        </w:tc>
        <w:tc>
          <w:tcPr>
            <w:tcW w:w="1354" w:type="dxa"/>
            <w:vAlign w:val="center"/>
          </w:tcPr>
          <w:p w:rsidR="00993B55" w:rsidRPr="00F84A52" w:rsidRDefault="00993B55" w:rsidP="0057500E">
            <w:pPr>
              <w:snapToGrid w:val="0"/>
              <w:spacing w:line="240" w:lineRule="atLeast"/>
              <w:rPr>
                <w:rFonts w:eastAsia="標楷體"/>
                <w:spacing w:val="20"/>
                <w:sz w:val="20"/>
                <w:szCs w:val="20"/>
              </w:rPr>
            </w:pPr>
            <w:r w:rsidRPr="00F84A52">
              <w:rPr>
                <w:rFonts w:eastAsia="標楷體"/>
                <w:spacing w:val="20"/>
                <w:sz w:val="20"/>
                <w:szCs w:val="20"/>
              </w:rPr>
              <w:t>B</w:t>
            </w:r>
            <w:r w:rsidRPr="00F84A52">
              <w:rPr>
                <w:rFonts w:eastAsia="標楷體"/>
                <w:spacing w:val="20"/>
                <w:sz w:val="20"/>
                <w:szCs w:val="20"/>
              </w:rPr>
              <w:t>型肝炎</w:t>
            </w:r>
          </w:p>
        </w:tc>
        <w:tc>
          <w:tcPr>
            <w:tcW w:w="4140" w:type="dxa"/>
            <w:vAlign w:val="center"/>
          </w:tcPr>
          <w:p w:rsidR="00993B55" w:rsidRPr="00F84A52" w:rsidRDefault="00993B55" w:rsidP="0057500E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84A52">
              <w:rPr>
                <w:rFonts w:eastAsia="標楷體" w:hint="eastAsia"/>
                <w:sz w:val="20"/>
                <w:szCs w:val="20"/>
              </w:rPr>
              <w:t>針對受</w:t>
            </w:r>
            <w:r w:rsidRPr="00F84A52">
              <w:rPr>
                <w:rFonts w:eastAsia="標楷體" w:hint="eastAsia"/>
                <w:sz w:val="20"/>
                <w:szCs w:val="20"/>
              </w:rPr>
              <w:t>B</w:t>
            </w:r>
            <w:r w:rsidRPr="00F84A52">
              <w:rPr>
                <w:rFonts w:eastAsia="標楷體" w:hint="eastAsia"/>
                <w:sz w:val="20"/>
                <w:szCs w:val="20"/>
              </w:rPr>
              <w:t>型肝炎病毒</w:t>
            </w:r>
            <w:r w:rsidRPr="00F84A52">
              <w:rPr>
                <w:rFonts w:eastAsia="標楷體" w:hint="eastAsia"/>
                <w:sz w:val="20"/>
                <w:szCs w:val="20"/>
              </w:rPr>
              <w:t>(H</w:t>
            </w:r>
            <w:r w:rsidRPr="00F84A52">
              <w:rPr>
                <w:rFonts w:eastAsia="標楷體"/>
                <w:sz w:val="20"/>
                <w:szCs w:val="20"/>
              </w:rPr>
              <w:t>epatitis B Virus, HBV</w:t>
            </w:r>
            <w:r w:rsidRPr="00F84A52">
              <w:rPr>
                <w:rFonts w:eastAsia="標楷體" w:hint="eastAsia"/>
                <w:sz w:val="20"/>
                <w:szCs w:val="20"/>
              </w:rPr>
              <w:t>)</w:t>
            </w:r>
            <w:r w:rsidRPr="00F84A52">
              <w:rPr>
                <w:rFonts w:eastAsia="標楷體" w:hint="eastAsia"/>
                <w:sz w:val="20"/>
                <w:szCs w:val="20"/>
              </w:rPr>
              <w:t>感染之病變細胞，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驅動專一性細胞免疫反應以清除病變細胞，進而對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B</w:t>
            </w:r>
            <w:r w:rsidRPr="00F84A52">
              <w:rPr>
                <w:rFonts w:eastAsia="標楷體" w:hint="eastAsia"/>
                <w:spacing w:val="20"/>
                <w:sz w:val="20"/>
                <w:szCs w:val="20"/>
              </w:rPr>
              <w:t>肝慢性帶原患者產生治療效果</w:t>
            </w:r>
          </w:p>
        </w:tc>
        <w:tc>
          <w:tcPr>
            <w:tcW w:w="180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rFonts w:hint="eastAsia"/>
                <w:color w:val="auto"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color w:val="auto"/>
                <w:sz w:val="20"/>
              </w:rPr>
              <w:t>0</w:t>
            </w:r>
          </w:p>
        </w:tc>
      </w:tr>
      <w:tr w:rsidR="00993B55" w:rsidRPr="00A261B6" w:rsidTr="0057500E">
        <w:trPr>
          <w:cantSplit/>
        </w:trPr>
        <w:tc>
          <w:tcPr>
            <w:tcW w:w="6508" w:type="dxa"/>
            <w:gridSpan w:val="3"/>
            <w:shd w:val="clear" w:color="auto" w:fill="F9F9F9"/>
          </w:tcPr>
          <w:p w:rsidR="00993B55" w:rsidRPr="00F84A52" w:rsidRDefault="00993B55" w:rsidP="0057500E">
            <w:pPr>
              <w:jc w:val="both"/>
              <w:rPr>
                <w:rFonts w:eastAsia="標楷體"/>
                <w:sz w:val="20"/>
              </w:rPr>
            </w:pPr>
            <w:r w:rsidRPr="00F84A52">
              <w:rPr>
                <w:rFonts w:eastAsia="標楷體" w:hAnsi="標楷體"/>
                <w:sz w:val="20"/>
              </w:rPr>
              <w:t>合</w:t>
            </w:r>
            <w:r w:rsidRPr="00F84A52">
              <w:rPr>
                <w:rFonts w:eastAsia="標楷體"/>
                <w:sz w:val="20"/>
              </w:rPr>
              <w:t xml:space="preserve">     </w:t>
            </w:r>
            <w:r w:rsidRPr="00F84A52">
              <w:rPr>
                <w:rFonts w:eastAsia="標楷體" w:hAnsi="標楷體"/>
                <w:sz w:val="20"/>
              </w:rPr>
              <w:t>計</w:t>
            </w:r>
          </w:p>
        </w:tc>
        <w:tc>
          <w:tcPr>
            <w:tcW w:w="180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rFonts w:hint="eastAsia"/>
                <w:color w:val="auto"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93B55" w:rsidRPr="00F84A52" w:rsidRDefault="00993B55" w:rsidP="0057500E">
            <w:pPr>
              <w:pStyle w:val="a4"/>
              <w:spacing w:line="300" w:lineRule="exact"/>
              <w:jc w:val="right"/>
              <w:rPr>
                <w:color w:val="auto"/>
                <w:sz w:val="20"/>
              </w:rPr>
            </w:pPr>
            <w:r w:rsidRPr="00F84A52">
              <w:rPr>
                <w:rFonts w:hint="eastAsia"/>
                <w:color w:val="auto"/>
                <w:sz w:val="20"/>
              </w:rPr>
              <w:t>0</w:t>
            </w:r>
          </w:p>
        </w:tc>
      </w:tr>
    </w:tbl>
    <w:p w:rsidR="00993B55" w:rsidRPr="00A261B6" w:rsidRDefault="00993B55" w:rsidP="00993B55">
      <w:pPr>
        <w:jc w:val="both"/>
        <w:rPr>
          <w:rFonts w:eastAsia="標楷體"/>
        </w:rPr>
      </w:pPr>
      <w:r w:rsidRPr="00A261B6">
        <w:rPr>
          <w:rFonts w:eastAsia="標楷體"/>
        </w:rPr>
        <w:t xml:space="preserve">                                                                          </w:t>
      </w:r>
      <w:r>
        <w:rPr>
          <w:rFonts w:eastAsia="標楷體"/>
          <w:noProof/>
        </w:rPr>
        <w:drawing>
          <wp:inline distT="0" distB="0" distL="0" distR="0">
            <wp:extent cx="409575" cy="152400"/>
            <wp:effectExtent l="19050" t="0" r="9525" b="0"/>
            <wp:docPr id="4" name="圖片 4" descr="icon_to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_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30"/>
        <w:gridCol w:w="1288"/>
        <w:gridCol w:w="1320"/>
        <w:gridCol w:w="1320"/>
        <w:gridCol w:w="1320"/>
        <w:gridCol w:w="1322"/>
        <w:gridCol w:w="1800"/>
      </w:tblGrid>
      <w:tr w:rsidR="00993B55" w:rsidRPr="00A261B6" w:rsidTr="0057500E">
        <w:trPr>
          <w:cantSplit/>
          <w:trHeight w:hRule="exact" w:val="1092"/>
        </w:trPr>
        <w:tc>
          <w:tcPr>
            <w:tcW w:w="10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4D4E2A" w:rsidP="0057500E">
            <w:pPr>
              <w:ind w:firstLineChars="500" w:firstLine="1200"/>
              <w:rPr>
                <w:rFonts w:eastAsia="標楷體"/>
                <w:b/>
                <w:bCs/>
                <w:sz w:val="28"/>
              </w:rPr>
            </w:pPr>
            <w:bookmarkStart w:id="4" w:name="最近五年度簡明損益表及申請年度截至最近月份止之自結損益表"/>
            <w:bookmarkEnd w:id="4"/>
            <w:r w:rsidRPr="004D4E2A">
              <w:rPr>
                <w:rFonts w:eastAsia="標楷體"/>
                <w:noProof/>
              </w:rPr>
              <w:pict>
                <v:shape id="_x0000_s1033" type="#_x0000_t202" style="position:absolute;left:0;text-align:left;margin-left:0;margin-top:-.55pt;width:523pt;height:53.95pt;z-index:-251649024" fillcolor="#ededed" stroked="f">
                  <v:fill rotate="t" focus="50%" type="gradient"/>
                  <v:textbox style="mso-next-textbox:#_x0000_s1033">
                    <w:txbxContent>
                      <w:p w:rsidR="00993B55" w:rsidRDefault="00993B55" w:rsidP="00993B55"/>
                    </w:txbxContent>
                  </v:textbox>
                </v:shape>
              </w:pict>
            </w:r>
            <w:r w:rsidR="00993B55" w:rsidRPr="00A261B6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993B55" w:rsidRPr="00A261B6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993B55" w:rsidRPr="00A261B6">
              <w:rPr>
                <w:rFonts w:eastAsia="標楷體" w:hAnsi="標楷體"/>
                <w:b/>
                <w:bCs/>
                <w:sz w:val="28"/>
              </w:rPr>
              <w:t>年度簡明損益表及申請年度截至最近月份止之</w:t>
            </w:r>
            <w:r w:rsidR="00993B55" w:rsidRPr="00A261B6">
              <w:rPr>
                <w:rFonts w:eastAsia="標楷體" w:hAnsi="標楷體"/>
                <w:b/>
                <w:bCs/>
                <w:sz w:val="28"/>
                <w:u w:val="single"/>
              </w:rPr>
              <w:t>自結</w:t>
            </w:r>
            <w:r w:rsidR="00993B55" w:rsidRPr="00A261B6">
              <w:rPr>
                <w:rFonts w:eastAsia="標楷體" w:hAnsi="標楷體"/>
                <w:b/>
                <w:bCs/>
                <w:sz w:val="28"/>
              </w:rPr>
              <w:t>損益表</w:t>
            </w:r>
            <w:r w:rsidR="00993B55" w:rsidRPr="00A261B6">
              <w:rPr>
                <w:rFonts w:eastAsia="標楷體"/>
                <w:b/>
                <w:bCs/>
                <w:sz w:val="28"/>
              </w:rPr>
              <w:t xml:space="preserve">  </w:t>
            </w:r>
          </w:p>
          <w:p w:rsidR="00993B55" w:rsidRPr="00A261B6" w:rsidRDefault="00993B55" w:rsidP="0057500E">
            <w:pPr>
              <w:ind w:firstLineChars="3500" w:firstLine="8400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單位：新台幣仟元</w:t>
            </w:r>
            <w:r w:rsidRPr="00A261B6">
              <w:rPr>
                <w:rFonts w:eastAsia="標楷體"/>
              </w:rPr>
              <w:t xml:space="preserve">                      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93B55" w:rsidRPr="00A261B6" w:rsidRDefault="00993B55" w:rsidP="0057500E">
            <w:pPr>
              <w:ind w:left="57" w:right="57"/>
              <w:jc w:val="right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年度</w:t>
            </w:r>
          </w:p>
          <w:p w:rsidR="00993B55" w:rsidRPr="00A261B6" w:rsidRDefault="00993B55" w:rsidP="0057500E">
            <w:pPr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項目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99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/>
              </w:rPr>
              <w:t>1</w:t>
            </w:r>
            <w:r w:rsidRPr="00AA316C">
              <w:rPr>
                <w:rFonts w:eastAsia="標楷體" w:hint="eastAsia"/>
              </w:rPr>
              <w:t>00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101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102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103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A261B6">
              <w:rPr>
                <w:rFonts w:eastAsia="標楷體"/>
              </w:rPr>
              <w:t xml:space="preserve"> </w:t>
            </w:r>
            <w:r w:rsidRPr="00F84A52">
              <w:rPr>
                <w:rFonts w:eastAsia="標楷體" w:hint="eastAsia"/>
              </w:rPr>
              <w:t>104</w:t>
            </w:r>
            <w:r w:rsidRPr="00F84A52">
              <w:rPr>
                <w:rFonts w:eastAsia="標楷體" w:hAnsi="標楷體"/>
              </w:rPr>
              <w:t>年</w:t>
            </w:r>
            <w:proofErr w:type="gramStart"/>
            <w:r w:rsidRPr="00F84A52">
              <w:rPr>
                <w:rFonts w:eastAsia="標楷體" w:hAnsi="標楷體"/>
              </w:rPr>
              <w:t>截</w:t>
            </w:r>
            <w:proofErr w:type="gramEnd"/>
          </w:p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 w:hAnsi="標楷體"/>
              </w:rPr>
              <w:t>至</w:t>
            </w:r>
            <w:r w:rsidRPr="00F84A52">
              <w:rPr>
                <w:rFonts w:eastAsia="標楷體" w:hint="eastAsia"/>
                <w:u w:val="single"/>
              </w:rPr>
              <w:t>11</w:t>
            </w:r>
            <w:r w:rsidRPr="00F84A52">
              <w:rPr>
                <w:rFonts w:eastAsia="標楷體" w:hAnsi="標楷體"/>
              </w:rPr>
              <w:t>月份</w:t>
            </w:r>
            <w:proofErr w:type="gramStart"/>
            <w:r w:rsidRPr="00F84A52">
              <w:rPr>
                <w:rFonts w:eastAsia="標楷體" w:hAnsi="標楷體"/>
              </w:rPr>
              <w:t>止</w:t>
            </w:r>
            <w:proofErr w:type="gramEnd"/>
          </w:p>
          <w:p w:rsidR="00993B55" w:rsidRPr="00F84A52" w:rsidRDefault="00993B55" w:rsidP="0057500E">
            <w:pPr>
              <w:jc w:val="center"/>
              <w:rPr>
                <w:rFonts w:eastAsia="標楷體"/>
                <w:b/>
                <w:u w:val="single"/>
              </w:rPr>
            </w:pPr>
            <w:r w:rsidRPr="00F84A52">
              <w:rPr>
                <w:rFonts w:eastAsia="標楷體"/>
                <w:b/>
                <w:u w:val="single"/>
              </w:rPr>
              <w:t>(</w:t>
            </w:r>
            <w:r w:rsidRPr="00F84A52">
              <w:rPr>
                <w:rFonts w:eastAsia="標楷體" w:hAnsi="標楷體"/>
                <w:b/>
                <w:u w:val="single"/>
              </w:rPr>
              <w:t>自結數</w:t>
            </w:r>
            <w:r w:rsidRPr="00F84A52">
              <w:rPr>
                <w:rFonts w:eastAsia="標楷體"/>
                <w:b/>
                <w:u w:val="single"/>
              </w:rPr>
              <w:t>)</w:t>
            </w:r>
          </w:p>
          <w:p w:rsidR="00993B55" w:rsidRPr="00C65E50" w:rsidRDefault="00993B55" w:rsidP="0057500E">
            <w:pPr>
              <w:jc w:val="center"/>
              <w:rPr>
                <w:rFonts w:eastAsia="標楷體"/>
                <w:u w:val="single"/>
              </w:rPr>
            </w:pPr>
            <w:r w:rsidRPr="00F84A52">
              <w:rPr>
                <w:rFonts w:eastAsia="標楷體"/>
              </w:rPr>
              <w:t>(</w:t>
            </w: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>
              <w:rPr>
                <w:rFonts w:eastAsia="標楷體" w:hAnsi="標楷體" w:hint="eastAsia"/>
              </w:rPr>
              <w:t>3</w:t>
            </w:r>
            <w:r w:rsidRPr="00F84A52">
              <w:rPr>
                <w:rFonts w:eastAsia="標楷體"/>
              </w:rPr>
              <w:t>)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營業收入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不適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670D1A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1,100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營業毛利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670D1A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1,100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毛利率</w:t>
            </w:r>
            <w:r w:rsidRPr="00A261B6">
              <w:rPr>
                <w:rFonts w:eastAsia="標楷體"/>
              </w:rPr>
              <w:t>(%)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670D1A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營業外收入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11,055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7,541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營業外支出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670D1A"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(539)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Default="00993B55" w:rsidP="0057500E">
            <w:pPr>
              <w:pStyle w:val="ab"/>
              <w:snapToGrid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(6,058)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(216)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稅前損益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(15,087)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(72,932)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B55" w:rsidRDefault="00993B55" w:rsidP="0057500E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(132,514)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(211,01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)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稅後損益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(15,087)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</w:rPr>
              <w:t>72,932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(132,761)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(211,01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)</w:t>
            </w:r>
          </w:p>
        </w:tc>
      </w:tr>
      <w:tr w:rsidR="00993B55" w:rsidRPr="00A261B6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每股盈餘（元）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Pr="00F84A52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F84A52">
              <w:rPr>
                <w:rFonts w:eastAsia="標楷體" w:hint="eastAsia"/>
                <w:color w:val="000000"/>
              </w:rPr>
              <w:t>(1.17)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Pr="00F84A52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F84A52">
              <w:rPr>
                <w:rFonts w:eastAsia="標楷體" w:hint="eastAsia"/>
                <w:color w:val="000000"/>
              </w:rPr>
              <w:t>(1.76)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Pr="000B7F0D" w:rsidRDefault="00993B55" w:rsidP="0057500E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0B7F0D">
              <w:rPr>
                <w:rFonts w:eastAsia="標楷體" w:hint="eastAsia"/>
                <w:color w:val="000000"/>
              </w:rPr>
              <w:t>(1.77)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0B7F0D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2.35</w:t>
            </w:r>
            <w:r>
              <w:rPr>
                <w:rFonts w:eastAsia="標楷體" w:hint="eastAsia"/>
              </w:rPr>
              <w:t>)</w:t>
            </w:r>
          </w:p>
        </w:tc>
      </w:tr>
      <w:tr w:rsidR="00993B55" w:rsidRPr="00A261B6" w:rsidTr="0057500E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lastRenderedPageBreak/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現金股利</w:t>
            </w:r>
            <w:r w:rsidRPr="00A261B6">
              <w:rPr>
                <w:rFonts w:eastAsia="標楷體"/>
              </w:rPr>
              <w:t>(</w:t>
            </w:r>
            <w:r w:rsidRPr="00A261B6">
              <w:rPr>
                <w:rFonts w:eastAsia="標楷體" w:hAnsi="標楷體"/>
              </w:rPr>
              <w:t>元</w:t>
            </w:r>
            <w:r w:rsidRPr="00A261B6">
              <w:rPr>
                <w:rFonts w:eastAsia="標楷體"/>
              </w:rPr>
              <w:t>)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670D1A"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B55" w:rsidRPr="00A261B6" w:rsidRDefault="00993B55" w:rsidP="0057500E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993B55" w:rsidRPr="00A261B6" w:rsidTr="0057500E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both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股票股利</w:t>
            </w:r>
            <w:r w:rsidRPr="00A261B6">
              <w:rPr>
                <w:rFonts w:eastAsia="標楷體"/>
              </w:rPr>
              <w:t>(</w:t>
            </w:r>
            <w:r w:rsidRPr="00A261B6">
              <w:rPr>
                <w:rFonts w:eastAsia="標楷體" w:hAnsi="標楷體"/>
              </w:rPr>
              <w:t>資本公積轉增資</w:t>
            </w:r>
            <w:r w:rsidRPr="00A261B6">
              <w:rPr>
                <w:rFonts w:eastAsia="標楷體"/>
              </w:rPr>
              <w:t>)(</w:t>
            </w:r>
            <w:r w:rsidRPr="00A261B6">
              <w:rPr>
                <w:rFonts w:eastAsia="標楷體" w:hAnsi="標楷體"/>
              </w:rPr>
              <w:t>元</w:t>
            </w:r>
            <w:r w:rsidRPr="00A261B6">
              <w:rPr>
                <w:rFonts w:eastAsia="標楷體"/>
              </w:rPr>
              <w:t>)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670D1A" w:rsidRDefault="00993B55" w:rsidP="0057500E">
            <w:pPr>
              <w:jc w:val="right"/>
              <w:rPr>
                <w:rFonts w:eastAsia="標楷體"/>
                <w:color w:val="000000"/>
              </w:rPr>
            </w:pPr>
            <w:r w:rsidRPr="00670D1A"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B55" w:rsidRPr="00A261B6" w:rsidRDefault="00993B55" w:rsidP="0057500E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993B55" w:rsidRPr="00A261B6" w:rsidTr="0057500E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B55" w:rsidRPr="00A261B6" w:rsidRDefault="00993B55" w:rsidP="0057500E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both"/>
              <w:rPr>
                <w:rFonts w:eastAsia="標楷體"/>
              </w:rPr>
            </w:pPr>
            <w:r w:rsidRPr="00A261B6">
              <w:rPr>
                <w:rFonts w:eastAsia="標楷體" w:hAnsi="標楷體"/>
              </w:rPr>
              <w:t>股票股利</w:t>
            </w:r>
            <w:r w:rsidRPr="00A261B6">
              <w:rPr>
                <w:rFonts w:eastAsia="標楷體"/>
              </w:rPr>
              <w:t>(</w:t>
            </w:r>
            <w:r w:rsidRPr="00A261B6">
              <w:rPr>
                <w:rFonts w:eastAsia="標楷體" w:hAnsi="標楷體"/>
              </w:rPr>
              <w:t>盈餘轉增資</w:t>
            </w:r>
            <w:r w:rsidRPr="00A261B6">
              <w:rPr>
                <w:rFonts w:eastAsia="標楷體"/>
              </w:rPr>
              <w:t>)(</w:t>
            </w:r>
            <w:r w:rsidRPr="00A261B6">
              <w:rPr>
                <w:rFonts w:eastAsia="標楷體" w:hAnsi="標楷體"/>
              </w:rPr>
              <w:t>元</w:t>
            </w:r>
            <w:r w:rsidRPr="00A261B6">
              <w:rPr>
                <w:rFonts w:eastAsia="標楷體"/>
              </w:rPr>
              <w:t>)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261B6" w:rsidRDefault="00993B55" w:rsidP="0057500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B55" w:rsidRPr="00A261B6" w:rsidRDefault="00993B55" w:rsidP="0057500E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261B6" w:rsidRDefault="00993B55" w:rsidP="0057500E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993B55" w:rsidRDefault="00993B55" w:rsidP="00993B55">
      <w:pPr>
        <w:spacing w:line="240" w:lineRule="exact"/>
        <w:jc w:val="both"/>
        <w:rPr>
          <w:rFonts w:eastAsia="標楷體" w:hAnsi="標楷體"/>
          <w:sz w:val="20"/>
          <w:szCs w:val="20"/>
        </w:rPr>
      </w:pPr>
      <w:proofErr w:type="gramStart"/>
      <w:r w:rsidRPr="00CF1A31">
        <w:rPr>
          <w:rFonts w:eastAsia="標楷體" w:hAnsi="標楷體"/>
          <w:sz w:val="20"/>
          <w:szCs w:val="20"/>
        </w:rPr>
        <w:t>註</w:t>
      </w:r>
      <w:proofErr w:type="gramEnd"/>
      <w:r w:rsidRPr="00CF1A31">
        <w:rPr>
          <w:rFonts w:eastAsia="標楷體"/>
          <w:sz w:val="20"/>
          <w:szCs w:val="20"/>
        </w:rPr>
        <w:t>1</w:t>
      </w:r>
      <w:r w:rsidRPr="00CF1A31">
        <w:rPr>
          <w:rFonts w:eastAsia="標楷體" w:hAnsi="標楷體"/>
          <w:sz w:val="20"/>
          <w:szCs w:val="20"/>
        </w:rPr>
        <w:t>：</w:t>
      </w:r>
      <w:r w:rsidRPr="007D201E">
        <w:rPr>
          <w:rFonts w:eastAsia="標楷體" w:hint="eastAsia"/>
          <w:sz w:val="20"/>
          <w:szCs w:val="20"/>
        </w:rPr>
        <w:t>本公司於</w:t>
      </w:r>
      <w:r w:rsidRPr="007D201E">
        <w:rPr>
          <w:rFonts w:eastAsia="標楷體"/>
          <w:sz w:val="20"/>
          <w:szCs w:val="20"/>
        </w:rPr>
        <w:t>101</w:t>
      </w:r>
      <w:r w:rsidRPr="007D201E">
        <w:rPr>
          <w:rFonts w:eastAsia="標楷體" w:hint="eastAsia"/>
          <w:sz w:val="20"/>
          <w:szCs w:val="20"/>
        </w:rPr>
        <w:t>年</w:t>
      </w:r>
      <w:r w:rsidRPr="007D201E">
        <w:rPr>
          <w:rFonts w:eastAsia="標楷體"/>
          <w:sz w:val="20"/>
          <w:szCs w:val="20"/>
        </w:rPr>
        <w:t>6</w:t>
      </w:r>
      <w:r w:rsidRPr="007D201E">
        <w:rPr>
          <w:rFonts w:eastAsia="標楷體" w:hint="eastAsia"/>
          <w:sz w:val="20"/>
          <w:szCs w:val="20"/>
        </w:rPr>
        <w:t>月</w:t>
      </w:r>
      <w:r w:rsidRPr="007D201E">
        <w:rPr>
          <w:rFonts w:eastAsia="標楷體"/>
          <w:sz w:val="20"/>
          <w:szCs w:val="20"/>
        </w:rPr>
        <w:t>27</w:t>
      </w:r>
      <w:r w:rsidRPr="007D201E">
        <w:rPr>
          <w:rFonts w:eastAsia="標楷體" w:hint="eastAsia"/>
          <w:sz w:val="20"/>
          <w:szCs w:val="20"/>
        </w:rPr>
        <w:t>日設立，故</w:t>
      </w:r>
      <w:r w:rsidRPr="007D201E">
        <w:rPr>
          <w:rFonts w:eastAsia="標楷體"/>
          <w:sz w:val="20"/>
          <w:szCs w:val="20"/>
        </w:rPr>
        <w:t>99</w:t>
      </w:r>
      <w:r w:rsidRPr="007D201E">
        <w:rPr>
          <w:rFonts w:eastAsia="標楷體" w:hint="eastAsia"/>
          <w:sz w:val="20"/>
          <w:szCs w:val="20"/>
        </w:rPr>
        <w:t>年</w:t>
      </w:r>
      <w:r w:rsidRPr="00CF1A31">
        <w:rPr>
          <w:rFonts w:eastAsia="標楷體" w:hAnsi="標楷體"/>
          <w:sz w:val="20"/>
          <w:szCs w:val="20"/>
        </w:rPr>
        <w:t>度</w:t>
      </w:r>
      <w:r w:rsidRPr="007D201E">
        <w:rPr>
          <w:rFonts w:eastAsia="標楷體" w:hint="eastAsia"/>
          <w:sz w:val="20"/>
          <w:szCs w:val="20"/>
        </w:rPr>
        <w:t>～</w:t>
      </w:r>
      <w:proofErr w:type="gramStart"/>
      <w:r w:rsidRPr="007D201E">
        <w:rPr>
          <w:rFonts w:eastAsia="標楷體"/>
          <w:sz w:val="20"/>
          <w:szCs w:val="20"/>
        </w:rPr>
        <w:t>100</w:t>
      </w:r>
      <w:proofErr w:type="gramEnd"/>
      <w:r w:rsidRPr="007D201E">
        <w:rPr>
          <w:rFonts w:eastAsia="標楷體" w:hint="eastAsia"/>
          <w:sz w:val="20"/>
          <w:szCs w:val="20"/>
        </w:rPr>
        <w:t>年</w:t>
      </w:r>
      <w:r w:rsidRPr="00CF1A31">
        <w:rPr>
          <w:rFonts w:eastAsia="標楷體" w:hAnsi="標楷體"/>
          <w:sz w:val="20"/>
          <w:szCs w:val="20"/>
        </w:rPr>
        <w:t>度</w:t>
      </w:r>
      <w:r w:rsidRPr="007D201E">
        <w:rPr>
          <w:rFonts w:eastAsia="標楷體" w:hint="eastAsia"/>
          <w:sz w:val="20"/>
          <w:szCs w:val="20"/>
        </w:rPr>
        <w:t>不適用</w:t>
      </w:r>
      <w:r w:rsidRPr="00CF1A31">
        <w:rPr>
          <w:rFonts w:eastAsia="標楷體" w:hAnsi="標楷體"/>
          <w:sz w:val="20"/>
          <w:szCs w:val="20"/>
        </w:rPr>
        <w:t>。</w:t>
      </w:r>
    </w:p>
    <w:p w:rsidR="00993B55" w:rsidRPr="00CF1A31" w:rsidRDefault="00993B55" w:rsidP="00993B55">
      <w:pPr>
        <w:spacing w:line="240" w:lineRule="exact"/>
        <w:ind w:left="566" w:rightChars="-335" w:right="-804" w:hangingChars="283" w:hanging="566"/>
        <w:jc w:val="both"/>
        <w:rPr>
          <w:rFonts w:eastAsia="標楷體"/>
          <w:sz w:val="20"/>
          <w:szCs w:val="20"/>
        </w:rPr>
      </w:pPr>
      <w:proofErr w:type="gramStart"/>
      <w:r w:rsidRPr="00CF1A31">
        <w:rPr>
          <w:rFonts w:eastAsia="標楷體" w:hAnsi="標楷體"/>
          <w:sz w:val="20"/>
          <w:szCs w:val="20"/>
        </w:rPr>
        <w:t>註</w:t>
      </w:r>
      <w:proofErr w:type="gramEnd"/>
      <w:r>
        <w:rPr>
          <w:rFonts w:eastAsia="標楷體" w:hint="eastAsia"/>
          <w:sz w:val="20"/>
          <w:szCs w:val="20"/>
        </w:rPr>
        <w:t>2</w:t>
      </w:r>
      <w:r w:rsidRPr="00CF1A31">
        <w:rPr>
          <w:rFonts w:eastAsia="標楷體" w:hAnsi="標楷體"/>
          <w:sz w:val="20"/>
          <w:szCs w:val="20"/>
        </w:rPr>
        <w:t>：</w:t>
      </w:r>
      <w:proofErr w:type="gramStart"/>
      <w:r>
        <w:rPr>
          <w:rFonts w:eastAsia="標楷體" w:hint="eastAsia"/>
          <w:sz w:val="20"/>
          <w:szCs w:val="20"/>
        </w:rPr>
        <w:t>101</w:t>
      </w:r>
      <w:proofErr w:type="gramEnd"/>
      <w:r w:rsidRPr="00CF1A31">
        <w:rPr>
          <w:rFonts w:eastAsia="標楷體" w:hAnsi="標楷體"/>
          <w:sz w:val="20"/>
          <w:szCs w:val="20"/>
        </w:rPr>
        <w:t>年度</w:t>
      </w:r>
      <w:r w:rsidRPr="007D201E">
        <w:rPr>
          <w:rFonts w:eastAsia="標楷體" w:hint="eastAsia"/>
          <w:sz w:val="20"/>
          <w:szCs w:val="20"/>
        </w:rPr>
        <w:t>～</w:t>
      </w:r>
      <w:proofErr w:type="gramStart"/>
      <w:r w:rsidRPr="00CF1A31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proofErr w:type="gramEnd"/>
      <w:r w:rsidRPr="00CF1A31">
        <w:rPr>
          <w:rFonts w:eastAsia="標楷體" w:hAnsi="標楷體"/>
          <w:sz w:val="20"/>
          <w:szCs w:val="20"/>
        </w:rPr>
        <w:t>年度係採用我國財務會計準則</w:t>
      </w:r>
      <w:r w:rsidRPr="00CF1A31">
        <w:rPr>
          <w:rFonts w:eastAsia="標楷體"/>
          <w:sz w:val="20"/>
          <w:szCs w:val="20"/>
        </w:rPr>
        <w:t>GAAP</w:t>
      </w:r>
      <w:r w:rsidRPr="00CF1A31">
        <w:rPr>
          <w:rFonts w:eastAsia="標楷體" w:hAnsi="標楷體"/>
          <w:sz w:val="20"/>
          <w:szCs w:val="20"/>
        </w:rPr>
        <w:t>所編製之個體財務報告</w:t>
      </w:r>
      <w:r>
        <w:rPr>
          <w:rFonts w:eastAsia="標楷體" w:hAnsi="標楷體" w:hint="eastAsia"/>
          <w:sz w:val="20"/>
          <w:szCs w:val="20"/>
        </w:rPr>
        <w:t>，</w:t>
      </w:r>
      <w:proofErr w:type="gramStart"/>
      <w:r w:rsidRPr="00CF1A31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proofErr w:type="gramEnd"/>
      <w:r w:rsidRPr="00CF1A31">
        <w:rPr>
          <w:rFonts w:eastAsia="標楷體" w:hAnsi="標楷體"/>
          <w:sz w:val="20"/>
          <w:szCs w:val="20"/>
        </w:rPr>
        <w:t>年度係採用我國財務會計準則</w:t>
      </w:r>
      <w:r w:rsidRPr="00CF1A31">
        <w:rPr>
          <w:rFonts w:eastAsia="標楷體"/>
          <w:sz w:val="20"/>
          <w:szCs w:val="20"/>
        </w:rPr>
        <w:t>GAAP</w:t>
      </w:r>
      <w:r w:rsidRPr="00CF1A31">
        <w:rPr>
          <w:rFonts w:eastAsia="標楷體" w:hAnsi="標楷體"/>
          <w:sz w:val="20"/>
          <w:szCs w:val="20"/>
        </w:rPr>
        <w:t>所編製之</w:t>
      </w:r>
      <w:r>
        <w:rPr>
          <w:rFonts w:eastAsia="標楷體" w:hAnsi="標楷體" w:hint="eastAsia"/>
          <w:sz w:val="20"/>
          <w:szCs w:val="20"/>
        </w:rPr>
        <w:t>合併</w:t>
      </w:r>
      <w:r w:rsidRPr="00CF1A31">
        <w:rPr>
          <w:rFonts w:eastAsia="標楷體" w:hAnsi="標楷體"/>
          <w:sz w:val="20"/>
          <w:szCs w:val="20"/>
        </w:rPr>
        <w:t>財務報告。</w:t>
      </w:r>
    </w:p>
    <w:p w:rsidR="00993B55" w:rsidRDefault="00993B55" w:rsidP="00993B55">
      <w:pPr>
        <w:spacing w:line="240" w:lineRule="exact"/>
        <w:ind w:left="566" w:rightChars="-335" w:right="-804" w:hangingChars="283" w:hanging="566"/>
        <w:jc w:val="both"/>
        <w:rPr>
          <w:rFonts w:eastAsia="標楷體" w:hAnsi="標楷體"/>
          <w:sz w:val="20"/>
          <w:szCs w:val="20"/>
        </w:rPr>
      </w:pPr>
      <w:proofErr w:type="gramStart"/>
      <w:r w:rsidRPr="00C65E50">
        <w:rPr>
          <w:rFonts w:eastAsia="標楷體" w:hAnsi="標楷體"/>
          <w:sz w:val="20"/>
          <w:szCs w:val="20"/>
        </w:rPr>
        <w:t>註</w:t>
      </w:r>
      <w:proofErr w:type="gramEnd"/>
      <w:r w:rsidRPr="00C65E50">
        <w:rPr>
          <w:rFonts w:eastAsia="標楷體" w:hAnsi="標楷體" w:hint="eastAsia"/>
          <w:sz w:val="20"/>
          <w:szCs w:val="20"/>
        </w:rPr>
        <w:t>3</w:t>
      </w:r>
      <w:r w:rsidRPr="00C65E50">
        <w:rPr>
          <w:rFonts w:eastAsia="標楷體" w:hAnsi="標楷體"/>
          <w:sz w:val="20"/>
          <w:szCs w:val="20"/>
        </w:rPr>
        <w:t>：</w:t>
      </w:r>
      <w:r w:rsidRPr="00C65E50">
        <w:rPr>
          <w:rFonts w:eastAsia="標楷體" w:hAnsi="標楷體"/>
          <w:sz w:val="20"/>
          <w:szCs w:val="20"/>
        </w:rPr>
        <w:t>104</w:t>
      </w:r>
      <w:r w:rsidRPr="00C65E50">
        <w:rPr>
          <w:rFonts w:eastAsia="標楷體" w:hAnsi="標楷體"/>
          <w:sz w:val="20"/>
          <w:szCs w:val="20"/>
        </w:rPr>
        <w:t>年截至</w:t>
      </w:r>
      <w:r w:rsidRPr="00C65E50">
        <w:rPr>
          <w:rFonts w:eastAsia="標楷體" w:hAnsi="標楷體"/>
          <w:sz w:val="20"/>
          <w:szCs w:val="20"/>
        </w:rPr>
        <w:t>11</w:t>
      </w:r>
      <w:r w:rsidRPr="00C65E50">
        <w:rPr>
          <w:rFonts w:eastAsia="標楷體" w:hAnsi="標楷體"/>
          <w:sz w:val="20"/>
          <w:szCs w:val="20"/>
        </w:rPr>
        <w:t>月份止之資料，係合併自結數字，未經會計師查核簽證，因此可能與會計師查核結果存有差異，請投資人於參考時審慎評估。</w:t>
      </w:r>
    </w:p>
    <w:p w:rsidR="00993B55" w:rsidRPr="00C65E50" w:rsidRDefault="00993B55" w:rsidP="00993B55">
      <w:pPr>
        <w:spacing w:line="240" w:lineRule="exact"/>
        <w:ind w:left="566" w:rightChars="-335" w:right="-804" w:hangingChars="283" w:hanging="566"/>
        <w:jc w:val="both"/>
        <w:rPr>
          <w:rFonts w:eastAsia="標楷體" w:hAnsi="標楷體"/>
          <w:sz w:val="20"/>
          <w:szCs w:val="20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993B55" w:rsidTr="0057500E">
        <w:trPr>
          <w:cantSplit/>
          <w:trHeight w:hRule="exact" w:val="1124"/>
        </w:trPr>
        <w:tc>
          <w:tcPr>
            <w:tcW w:w="10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Default="004D4E2A" w:rsidP="0057500E">
            <w:pPr>
              <w:ind w:firstLineChars="1200" w:firstLine="3363"/>
              <w:rPr>
                <w:rFonts w:eastAsia="標楷體" w:hAnsi="標楷體"/>
                <w:b/>
                <w:bCs/>
                <w:sz w:val="28"/>
              </w:rPr>
            </w:pPr>
            <w:r>
              <w:rPr>
                <w:rFonts w:eastAsia="標楷體" w:hAnsi="標楷體"/>
                <w:b/>
                <w:bCs/>
                <w:noProof/>
                <w:sz w:val="28"/>
              </w:rPr>
              <w:pict>
                <v:shape id="_x0000_s1039" type="#_x0000_t202" style="position:absolute;left:0;text-align:left;margin-left:0;margin-top:.65pt;width:523pt;height:53.95pt;z-index:-251642880" fillcolor="#ededed" stroked="f">
                  <v:fill rotate="t" focus="50%" type="gradient"/>
                  <v:textbox style="mso-next-textbox:#_x0000_s1039">
                    <w:txbxContent>
                      <w:p w:rsidR="00993B55" w:rsidRDefault="00993B55" w:rsidP="00993B55"/>
                    </w:txbxContent>
                  </v:textbox>
                </v:shape>
              </w:pict>
            </w:r>
            <w:r w:rsidR="00993B55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993B55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993B55">
              <w:rPr>
                <w:rFonts w:eastAsia="標楷體" w:hAnsi="標楷體"/>
                <w:b/>
                <w:bCs/>
                <w:sz w:val="28"/>
              </w:rPr>
              <w:t>年度簡明資產負債表</w:t>
            </w:r>
            <w:r w:rsidR="00993B55">
              <w:rPr>
                <w:rFonts w:eastAsia="標楷體" w:hAnsi="標楷體" w:hint="eastAsia"/>
                <w:b/>
                <w:bCs/>
                <w:sz w:val="28"/>
              </w:rPr>
              <w:t>(</w:t>
            </w:r>
            <w:proofErr w:type="gramStart"/>
            <w:r w:rsidR="00993B55">
              <w:rPr>
                <w:rFonts w:eastAsia="標楷體" w:hAnsi="標楷體" w:hint="eastAsia"/>
                <w:b/>
                <w:bCs/>
                <w:sz w:val="28"/>
              </w:rPr>
              <w:t>註</w:t>
            </w:r>
            <w:proofErr w:type="gramEnd"/>
            <w:r w:rsidR="00993B55">
              <w:rPr>
                <w:rFonts w:eastAsia="標楷體" w:hAnsi="標楷體" w:hint="eastAsia"/>
                <w:b/>
                <w:bCs/>
                <w:sz w:val="28"/>
              </w:rPr>
              <w:t>)</w:t>
            </w:r>
          </w:p>
          <w:p w:rsidR="00993B55" w:rsidRDefault="00993B55" w:rsidP="0057500E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>
              <w:rPr>
                <w:rFonts w:eastAsia="標楷體" w:hAnsi="標楷體"/>
              </w:rPr>
              <w:t>單位：新台幣仟元</w:t>
            </w:r>
          </w:p>
          <w:p w:rsidR="00993B55" w:rsidRDefault="00993B55" w:rsidP="0057500E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993B55" w:rsidRDefault="00993B55" w:rsidP="0057500E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993B55" w:rsidRDefault="00993B55" w:rsidP="0057500E">
            <w:pPr>
              <w:ind w:firstLineChars="1500" w:firstLine="3600"/>
              <w:rPr>
                <w:rFonts w:eastAsia="標楷體"/>
              </w:rPr>
            </w:pPr>
          </w:p>
          <w:p w:rsidR="00993B55" w:rsidRDefault="00993B55" w:rsidP="0057500E">
            <w:pPr>
              <w:ind w:firstLineChars="1500" w:firstLine="3600"/>
              <w:rPr>
                <w:rFonts w:eastAsia="標楷體"/>
              </w:rPr>
            </w:pPr>
          </w:p>
          <w:p w:rsidR="00993B55" w:rsidRDefault="00993B55" w:rsidP="0057500E">
            <w:pPr>
              <w:ind w:firstLineChars="1500" w:firstLine="3600"/>
              <w:rPr>
                <w:rFonts w:eastAsia="標楷體"/>
              </w:rPr>
            </w:pPr>
          </w:p>
          <w:p w:rsidR="00993B55" w:rsidRDefault="00993B55" w:rsidP="0057500E">
            <w:pPr>
              <w:ind w:firstLineChars="1500" w:firstLine="3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</w:p>
          <w:p w:rsidR="00993B55" w:rsidRDefault="00993B55" w:rsidP="0057500E">
            <w:pPr>
              <w:ind w:firstLineChars="900" w:firstLine="216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</w:t>
            </w:r>
            <w:r>
              <w:rPr>
                <w:rFonts w:eastAsia="標楷體" w:hAnsi="標楷體"/>
              </w:rPr>
              <w:t>單位：新台幣仟元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93B55" w:rsidRDefault="00993B55" w:rsidP="0057500E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993B55" w:rsidRDefault="00993B55" w:rsidP="0057500E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99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100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/>
              </w:rPr>
              <w:t>101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/>
              </w:rPr>
              <w:t>102</w:t>
            </w:r>
            <w:r w:rsidRPr="00AA316C">
              <w:rPr>
                <w:rFonts w:eastAsia="標楷體"/>
              </w:rPr>
              <w:t>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contextualSpacing/>
              <w:jc w:val="center"/>
              <w:rPr>
                <w:rFonts w:eastAsia="標楷體"/>
              </w:rPr>
            </w:pPr>
            <w:r w:rsidRPr="00AA316C">
              <w:rPr>
                <w:rFonts w:eastAsia="標楷體"/>
              </w:rPr>
              <w:t>103</w:t>
            </w:r>
            <w:r w:rsidRPr="00AA316C">
              <w:rPr>
                <w:rFonts w:eastAsia="標楷體"/>
              </w:rPr>
              <w:t>年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流動資產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不適用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58,676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47,984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776,827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基金及長期投資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1,455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123,011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固定資產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29,089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47,581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56,569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無形資產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256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165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1,574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其他資產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169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562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資產總額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88,021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97,354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958,543 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流動</w:t>
            </w:r>
          </w:p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277,809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15,074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17,989 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277,809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15,074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17,989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長期負債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其他負債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負債</w:t>
            </w:r>
          </w:p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277,809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15,074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17,989 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277,809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15,074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17,989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股本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205,000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550,000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895,000 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資本公積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644,508 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保留</w:t>
            </w:r>
          </w:p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(394,788)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>(467,720)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>(600,481)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(394,788)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>(467,720)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>(600,481)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長期股權投資</w:t>
            </w:r>
          </w:p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未實現跌價損失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</w:tr>
      <w:tr w:rsidR="00993B55" w:rsidTr="0057500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累積換算調整數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rPr>
                <w:rFonts w:eastAsia="標楷體" w:hint="eastAsia"/>
              </w:rPr>
              <w:t>1</w:t>
            </w:r>
            <w:r w:rsidRPr="00AA316C">
              <w:rPr>
                <w:rFonts w:eastAsia="標楷體"/>
              </w:rPr>
              <w:t>,527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55" w:rsidRDefault="00993B55" w:rsidP="0057500E">
            <w:pPr>
              <w:pStyle w:val="ad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(189,788)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82,280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940,554 </w:t>
            </w:r>
          </w:p>
        </w:tc>
      </w:tr>
      <w:tr w:rsidR="00993B55" w:rsidTr="0057500E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340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B55" w:rsidRDefault="00993B55" w:rsidP="0057500E">
            <w:pPr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(189,788)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82,280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55" w:rsidRPr="00AA316C" w:rsidRDefault="00993B55" w:rsidP="0057500E">
            <w:pPr>
              <w:ind w:rightChars="50" w:right="120"/>
              <w:contextualSpacing/>
              <w:jc w:val="right"/>
              <w:rPr>
                <w:rFonts w:eastAsia="標楷體"/>
              </w:rPr>
            </w:pPr>
            <w:r w:rsidRPr="00AA316C">
              <w:t xml:space="preserve">940,554 </w:t>
            </w:r>
          </w:p>
        </w:tc>
      </w:tr>
    </w:tbl>
    <w:p w:rsidR="00993B55" w:rsidRDefault="00993B55" w:rsidP="00993B55">
      <w:pPr>
        <w:jc w:val="both"/>
        <w:rPr>
          <w:rFonts w:eastAsia="標楷體" w:hAnsi="標楷體"/>
          <w:sz w:val="20"/>
          <w:szCs w:val="20"/>
        </w:rPr>
      </w:pPr>
      <w:bookmarkStart w:id="5" w:name="最近五年度簡明資產負債表"/>
      <w:bookmarkEnd w:id="5"/>
      <w:proofErr w:type="gramStart"/>
      <w:r w:rsidRPr="00CF1A31">
        <w:rPr>
          <w:rFonts w:eastAsia="標楷體" w:hAnsi="標楷體"/>
          <w:sz w:val="20"/>
          <w:szCs w:val="20"/>
        </w:rPr>
        <w:t>註</w:t>
      </w:r>
      <w:proofErr w:type="gramEnd"/>
      <w:r w:rsidRPr="00CF1A31">
        <w:rPr>
          <w:rFonts w:eastAsia="標楷體"/>
          <w:sz w:val="20"/>
          <w:szCs w:val="20"/>
        </w:rPr>
        <w:t>1</w:t>
      </w:r>
      <w:r w:rsidRPr="00CF1A31">
        <w:rPr>
          <w:rFonts w:eastAsia="標楷體" w:hAnsi="標楷體"/>
          <w:sz w:val="20"/>
          <w:szCs w:val="20"/>
        </w:rPr>
        <w:t>：</w:t>
      </w:r>
      <w:r w:rsidRPr="007D201E">
        <w:rPr>
          <w:rFonts w:eastAsia="標楷體" w:hint="eastAsia"/>
          <w:sz w:val="20"/>
          <w:szCs w:val="20"/>
        </w:rPr>
        <w:t>本公司於</w:t>
      </w:r>
      <w:r w:rsidRPr="007D201E">
        <w:rPr>
          <w:rFonts w:eastAsia="標楷體"/>
          <w:sz w:val="20"/>
          <w:szCs w:val="20"/>
        </w:rPr>
        <w:t>101</w:t>
      </w:r>
      <w:r w:rsidRPr="007D201E">
        <w:rPr>
          <w:rFonts w:eastAsia="標楷體" w:hint="eastAsia"/>
          <w:sz w:val="20"/>
          <w:szCs w:val="20"/>
        </w:rPr>
        <w:t>年</w:t>
      </w:r>
      <w:r w:rsidRPr="007D201E">
        <w:rPr>
          <w:rFonts w:eastAsia="標楷體"/>
          <w:sz w:val="20"/>
          <w:szCs w:val="20"/>
        </w:rPr>
        <w:t>6</w:t>
      </w:r>
      <w:r w:rsidRPr="007D201E">
        <w:rPr>
          <w:rFonts w:eastAsia="標楷體" w:hint="eastAsia"/>
          <w:sz w:val="20"/>
          <w:szCs w:val="20"/>
        </w:rPr>
        <w:t>月</w:t>
      </w:r>
      <w:r w:rsidRPr="007D201E">
        <w:rPr>
          <w:rFonts w:eastAsia="標楷體"/>
          <w:sz w:val="20"/>
          <w:szCs w:val="20"/>
        </w:rPr>
        <w:t>27</w:t>
      </w:r>
      <w:r w:rsidRPr="007D201E">
        <w:rPr>
          <w:rFonts w:eastAsia="標楷體" w:hint="eastAsia"/>
          <w:sz w:val="20"/>
          <w:szCs w:val="20"/>
        </w:rPr>
        <w:t>日設立，故</w:t>
      </w:r>
      <w:r w:rsidRPr="007D201E">
        <w:rPr>
          <w:rFonts w:eastAsia="標楷體"/>
          <w:sz w:val="20"/>
          <w:szCs w:val="20"/>
        </w:rPr>
        <w:t>99</w:t>
      </w:r>
      <w:r w:rsidRPr="007D201E">
        <w:rPr>
          <w:rFonts w:eastAsia="標楷體" w:hint="eastAsia"/>
          <w:sz w:val="20"/>
          <w:szCs w:val="20"/>
        </w:rPr>
        <w:t>年</w:t>
      </w:r>
      <w:r w:rsidRPr="00CF1A31">
        <w:rPr>
          <w:rFonts w:eastAsia="標楷體" w:hAnsi="標楷體"/>
          <w:sz w:val="20"/>
          <w:szCs w:val="20"/>
        </w:rPr>
        <w:t>度</w:t>
      </w:r>
      <w:r w:rsidRPr="007D201E">
        <w:rPr>
          <w:rFonts w:eastAsia="標楷體" w:hint="eastAsia"/>
          <w:sz w:val="20"/>
          <w:szCs w:val="20"/>
        </w:rPr>
        <w:t>～</w:t>
      </w:r>
      <w:proofErr w:type="gramStart"/>
      <w:r w:rsidRPr="007D201E">
        <w:rPr>
          <w:rFonts w:eastAsia="標楷體"/>
          <w:sz w:val="20"/>
          <w:szCs w:val="20"/>
        </w:rPr>
        <w:t>100</w:t>
      </w:r>
      <w:proofErr w:type="gramEnd"/>
      <w:r w:rsidRPr="007D201E">
        <w:rPr>
          <w:rFonts w:eastAsia="標楷體" w:hint="eastAsia"/>
          <w:sz w:val="20"/>
          <w:szCs w:val="20"/>
        </w:rPr>
        <w:t>年</w:t>
      </w:r>
      <w:r w:rsidRPr="00CF1A31">
        <w:rPr>
          <w:rFonts w:eastAsia="標楷體" w:hAnsi="標楷體"/>
          <w:sz w:val="20"/>
          <w:szCs w:val="20"/>
        </w:rPr>
        <w:t>度</w:t>
      </w:r>
      <w:r w:rsidRPr="007D201E">
        <w:rPr>
          <w:rFonts w:eastAsia="標楷體" w:hint="eastAsia"/>
          <w:sz w:val="20"/>
          <w:szCs w:val="20"/>
        </w:rPr>
        <w:t>不適用</w:t>
      </w:r>
      <w:r w:rsidRPr="00CF1A31">
        <w:rPr>
          <w:rFonts w:eastAsia="標楷體" w:hAnsi="標楷體"/>
          <w:sz w:val="20"/>
          <w:szCs w:val="20"/>
        </w:rPr>
        <w:t>。</w:t>
      </w:r>
    </w:p>
    <w:p w:rsidR="00993B55" w:rsidRPr="00CF1A31" w:rsidRDefault="00993B55" w:rsidP="00993B55">
      <w:pPr>
        <w:ind w:left="566" w:rightChars="-341" w:right="-818" w:hangingChars="283" w:hanging="566"/>
        <w:jc w:val="both"/>
        <w:rPr>
          <w:rFonts w:eastAsia="標楷體"/>
          <w:sz w:val="20"/>
          <w:szCs w:val="20"/>
        </w:rPr>
      </w:pPr>
      <w:proofErr w:type="gramStart"/>
      <w:r w:rsidRPr="00CF1A31">
        <w:rPr>
          <w:rFonts w:eastAsia="標楷體" w:hAnsi="標楷體"/>
          <w:sz w:val="20"/>
          <w:szCs w:val="20"/>
        </w:rPr>
        <w:t>註</w:t>
      </w:r>
      <w:proofErr w:type="gramEnd"/>
      <w:r>
        <w:rPr>
          <w:rFonts w:eastAsia="標楷體" w:hint="eastAsia"/>
          <w:sz w:val="20"/>
          <w:szCs w:val="20"/>
        </w:rPr>
        <w:t>2</w:t>
      </w:r>
      <w:r w:rsidRPr="00CF1A31">
        <w:rPr>
          <w:rFonts w:eastAsia="標楷體" w:hAnsi="標楷體"/>
          <w:sz w:val="20"/>
          <w:szCs w:val="20"/>
        </w:rPr>
        <w:t>：</w:t>
      </w:r>
      <w:proofErr w:type="gramStart"/>
      <w:r>
        <w:rPr>
          <w:rFonts w:eastAsia="標楷體" w:hint="eastAsia"/>
          <w:sz w:val="20"/>
          <w:szCs w:val="20"/>
        </w:rPr>
        <w:t>101</w:t>
      </w:r>
      <w:proofErr w:type="gramEnd"/>
      <w:r w:rsidRPr="00CF1A31">
        <w:rPr>
          <w:rFonts w:eastAsia="標楷體" w:hAnsi="標楷體"/>
          <w:sz w:val="20"/>
          <w:szCs w:val="20"/>
        </w:rPr>
        <w:t>年度</w:t>
      </w:r>
      <w:r w:rsidRPr="007D201E">
        <w:rPr>
          <w:rFonts w:eastAsia="標楷體" w:hint="eastAsia"/>
          <w:sz w:val="20"/>
          <w:szCs w:val="20"/>
        </w:rPr>
        <w:t>～</w:t>
      </w:r>
      <w:proofErr w:type="gramStart"/>
      <w:r w:rsidRPr="00CF1A31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proofErr w:type="gramEnd"/>
      <w:r w:rsidRPr="00CF1A31">
        <w:rPr>
          <w:rFonts w:eastAsia="標楷體" w:hAnsi="標楷體"/>
          <w:sz w:val="20"/>
          <w:szCs w:val="20"/>
        </w:rPr>
        <w:t>年度係採用我國財務會計準則</w:t>
      </w:r>
      <w:r w:rsidRPr="00CF1A31">
        <w:rPr>
          <w:rFonts w:eastAsia="標楷體"/>
          <w:sz w:val="20"/>
          <w:szCs w:val="20"/>
        </w:rPr>
        <w:t>GAAP</w:t>
      </w:r>
      <w:r w:rsidRPr="00CF1A31">
        <w:rPr>
          <w:rFonts w:eastAsia="標楷體" w:hAnsi="標楷體"/>
          <w:sz w:val="20"/>
          <w:szCs w:val="20"/>
        </w:rPr>
        <w:t>所編製之個體財務報告</w:t>
      </w:r>
      <w:r>
        <w:rPr>
          <w:rFonts w:eastAsia="標楷體" w:hAnsi="標楷體" w:hint="eastAsia"/>
          <w:sz w:val="20"/>
          <w:szCs w:val="20"/>
        </w:rPr>
        <w:t>，</w:t>
      </w:r>
      <w:proofErr w:type="gramStart"/>
      <w:r w:rsidRPr="00CF1A31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proofErr w:type="gramEnd"/>
      <w:r w:rsidRPr="00CF1A31">
        <w:rPr>
          <w:rFonts w:eastAsia="標楷體" w:hAnsi="標楷體"/>
          <w:sz w:val="20"/>
          <w:szCs w:val="20"/>
        </w:rPr>
        <w:t>年度係採用我國財務會計準則</w:t>
      </w:r>
      <w:r w:rsidRPr="00CF1A31">
        <w:rPr>
          <w:rFonts w:eastAsia="標楷體"/>
          <w:sz w:val="20"/>
          <w:szCs w:val="20"/>
        </w:rPr>
        <w:t>GAAP</w:t>
      </w:r>
      <w:r w:rsidRPr="00CF1A31">
        <w:rPr>
          <w:rFonts w:eastAsia="標楷體" w:hAnsi="標楷體"/>
          <w:sz w:val="20"/>
          <w:szCs w:val="20"/>
        </w:rPr>
        <w:t>所編製之</w:t>
      </w:r>
      <w:r>
        <w:rPr>
          <w:rFonts w:eastAsia="標楷體" w:hAnsi="標楷體" w:hint="eastAsia"/>
          <w:sz w:val="20"/>
          <w:szCs w:val="20"/>
        </w:rPr>
        <w:t>合併</w:t>
      </w:r>
      <w:r w:rsidRPr="00CF1A31">
        <w:rPr>
          <w:rFonts w:eastAsia="標楷體" w:hAnsi="標楷體"/>
          <w:sz w:val="20"/>
          <w:szCs w:val="20"/>
        </w:rPr>
        <w:t>財務報告。</w:t>
      </w:r>
    </w:p>
    <w:p w:rsidR="00993B55" w:rsidRPr="00A261B6" w:rsidRDefault="00993B55" w:rsidP="00993B55">
      <w:pPr>
        <w:jc w:val="both"/>
        <w:rPr>
          <w:rFonts w:eastAsia="標楷體"/>
        </w:rPr>
      </w:pPr>
      <w:r w:rsidRPr="00A261B6">
        <w:rPr>
          <w:rFonts w:eastAsia="標楷體"/>
        </w:rPr>
        <w:lastRenderedPageBreak/>
        <w:t xml:space="preserve">                                                                          </w:t>
      </w:r>
      <w:r>
        <w:rPr>
          <w:rFonts w:eastAsia="標楷體"/>
          <w:noProof/>
        </w:rPr>
        <w:drawing>
          <wp:inline distT="0" distB="0" distL="0" distR="0">
            <wp:extent cx="409575" cy="152400"/>
            <wp:effectExtent l="19050" t="0" r="9525" b="0"/>
            <wp:docPr id="5" name="圖片 5" descr="icon_to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_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55" w:rsidRPr="00A261B6" w:rsidRDefault="00993B55" w:rsidP="00993B55">
      <w:pPr>
        <w:rPr>
          <w:rFonts w:eastAsia="標楷體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2566"/>
        <w:gridCol w:w="2294"/>
        <w:gridCol w:w="2160"/>
        <w:gridCol w:w="2160"/>
      </w:tblGrid>
      <w:tr w:rsidR="00993B55" w:rsidRPr="000B7F0D" w:rsidTr="0057500E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p w:rsidR="00993B55" w:rsidRPr="00F84A52" w:rsidRDefault="004D4E2A" w:rsidP="0057500E">
            <w:pPr>
              <w:jc w:val="center"/>
              <w:rPr>
                <w:rFonts w:eastAsia="標楷體"/>
                <w:b/>
                <w:bCs/>
                <w:sz w:val="28"/>
              </w:rPr>
            </w:pPr>
            <w:bookmarkStart w:id="6" w:name="最近三年度財務比率及股利發放情形"/>
            <w:bookmarkEnd w:id="6"/>
            <w:r>
              <w:rPr>
                <w:rFonts w:eastAsia="標楷體"/>
                <w:b/>
                <w:bCs/>
                <w:noProof/>
                <w:sz w:val="28"/>
              </w:rPr>
              <w:pict>
                <v:shape id="_x0000_s1036" type="#_x0000_t202" style="position:absolute;left:0;text-align:left;margin-left:0;margin-top:-.05pt;width:486pt;height:35.45pt;z-index:-251645952" fillcolor="#ededed" stroked="f">
                  <v:fill rotate="t" focus="50%" type="gradient"/>
                  <v:textbox style="mso-next-textbox:#_x0000_s1036">
                    <w:txbxContent>
                      <w:p w:rsidR="00993B55" w:rsidRDefault="00993B55" w:rsidP="00993B55"/>
                    </w:txbxContent>
                  </v:textbox>
                </v:shape>
              </w:pict>
            </w:r>
            <w:r w:rsidR="00993B55" w:rsidRPr="00F84A52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993B55" w:rsidRPr="00F84A52">
              <w:rPr>
                <w:rFonts w:eastAsia="標楷體" w:hAnsi="標楷體"/>
                <w:b/>
                <w:bCs/>
                <w:sz w:val="28"/>
              </w:rPr>
              <w:t>三</w:t>
            </w:r>
            <w:proofErr w:type="gramEnd"/>
            <w:r w:rsidR="00993B55" w:rsidRPr="00F84A52">
              <w:rPr>
                <w:rFonts w:eastAsia="標楷體" w:hAnsi="標楷體"/>
                <w:b/>
                <w:bCs/>
                <w:sz w:val="28"/>
              </w:rPr>
              <w:t>年度財務比率</w:t>
            </w:r>
          </w:p>
        </w:tc>
      </w:tr>
      <w:tr w:rsidR="00993B55" w:rsidRPr="000B7F0D" w:rsidTr="0057500E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993B55" w:rsidRPr="00F84A52" w:rsidRDefault="00993B55" w:rsidP="0057500E">
            <w:pPr>
              <w:wordWrap w:val="0"/>
              <w:ind w:left="57" w:right="57"/>
              <w:jc w:val="right"/>
              <w:rPr>
                <w:rFonts w:eastAsia="標楷體"/>
              </w:rPr>
            </w:pPr>
            <w:r w:rsidRPr="00F84A52">
              <w:rPr>
                <w:rFonts w:eastAsia="標楷體" w:hAnsi="標楷體"/>
              </w:rPr>
              <w:t>年</w:t>
            </w:r>
            <w:r w:rsidRPr="00F84A52">
              <w:rPr>
                <w:rFonts w:eastAsia="標楷體"/>
              </w:rPr>
              <w:t xml:space="preserve">  </w:t>
            </w:r>
            <w:r w:rsidRPr="00F84A52">
              <w:rPr>
                <w:rFonts w:eastAsia="標楷體" w:hAnsi="標楷體"/>
              </w:rPr>
              <w:t>度</w:t>
            </w:r>
          </w:p>
          <w:p w:rsidR="00993B55" w:rsidRPr="00F84A52" w:rsidRDefault="00993B55" w:rsidP="0057500E">
            <w:pPr>
              <w:ind w:firstLineChars="100" w:firstLine="240"/>
              <w:rPr>
                <w:rFonts w:eastAsia="標楷體"/>
              </w:rPr>
            </w:pPr>
            <w:r w:rsidRPr="00F84A52">
              <w:rPr>
                <w:rFonts w:eastAsia="標楷體" w:hAnsi="標楷體"/>
              </w:rPr>
              <w:t>項</w:t>
            </w:r>
            <w:r w:rsidRPr="00F84A52">
              <w:rPr>
                <w:rFonts w:eastAsia="標楷體"/>
              </w:rPr>
              <w:t xml:space="preserve">  </w:t>
            </w:r>
            <w:r w:rsidRPr="00F84A52">
              <w:rPr>
                <w:rFonts w:eastAsia="標楷體" w:hAnsi="標楷體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 w:hAnsi="標楷體" w:hint="eastAsia"/>
              </w:rPr>
              <w:t>101</w:t>
            </w:r>
            <w:r w:rsidRPr="00F84A52">
              <w:rPr>
                <w:rFonts w:eastAsia="標楷體" w:hAnsi="標楷體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 w:hAnsi="標楷體" w:hint="eastAsia"/>
              </w:rPr>
              <w:t>102</w:t>
            </w:r>
            <w:r w:rsidRPr="00F84A52">
              <w:rPr>
                <w:rFonts w:eastAsia="標楷體" w:hAnsi="標楷體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B55" w:rsidRPr="000B7F0D" w:rsidRDefault="00993B55" w:rsidP="0057500E">
            <w:pPr>
              <w:jc w:val="center"/>
              <w:rPr>
                <w:rFonts w:eastAsia="標楷體"/>
                <w:highlight w:val="cyan"/>
              </w:rPr>
            </w:pPr>
            <w:r w:rsidRPr="00F84A52">
              <w:rPr>
                <w:rFonts w:eastAsia="標楷體" w:hAnsi="標楷體" w:hint="eastAsia"/>
              </w:rPr>
              <w:t>103</w:t>
            </w:r>
            <w:r w:rsidRPr="00F84A52">
              <w:rPr>
                <w:rFonts w:eastAsia="標楷體" w:hAnsi="標楷體"/>
              </w:rPr>
              <w:t>年</w:t>
            </w:r>
          </w:p>
        </w:tc>
      </w:tr>
      <w:tr w:rsidR="00993B55" w:rsidRPr="000B7F0D" w:rsidTr="0057500E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993B55" w:rsidRPr="00F84A52" w:rsidRDefault="00993B55" w:rsidP="004208BA">
            <w:pPr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bookmarkStart w:id="7" w:name="財務比率"/>
            <w:bookmarkEnd w:id="7"/>
            <w:r w:rsidRPr="00F84A52">
              <w:rPr>
                <w:rFonts w:ascii="標楷體" w:eastAsia="標楷體" w:hAnsi="標楷體"/>
                <w:b/>
              </w:rPr>
              <w:t>財</w:t>
            </w:r>
          </w:p>
          <w:p w:rsidR="00993B55" w:rsidRPr="00F84A52" w:rsidRDefault="00993B55" w:rsidP="0057500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84A52">
              <w:rPr>
                <w:rFonts w:ascii="標楷體" w:eastAsia="標楷體" w:hAnsi="標楷體"/>
                <w:b/>
              </w:rPr>
              <w:t>務</w:t>
            </w:r>
            <w:proofErr w:type="gramEnd"/>
          </w:p>
          <w:p w:rsidR="00993B55" w:rsidRPr="00F84A52" w:rsidRDefault="00993B55" w:rsidP="0057500E">
            <w:pPr>
              <w:jc w:val="center"/>
              <w:rPr>
                <w:rFonts w:ascii="標楷體" w:eastAsia="標楷體" w:hAnsi="標楷體"/>
                <w:b/>
              </w:rPr>
            </w:pPr>
            <w:r w:rsidRPr="00F84A52">
              <w:rPr>
                <w:rFonts w:ascii="標楷體" w:eastAsia="標楷體" w:hAnsi="標楷體"/>
                <w:b/>
              </w:rPr>
              <w:t>比</w:t>
            </w:r>
          </w:p>
          <w:p w:rsidR="00993B55" w:rsidRPr="00F84A52" w:rsidRDefault="00993B55" w:rsidP="0057500E">
            <w:pPr>
              <w:jc w:val="center"/>
              <w:rPr>
                <w:rFonts w:ascii="標楷體" w:eastAsia="標楷體" w:hAnsi="標楷體"/>
              </w:rPr>
            </w:pPr>
            <w:r w:rsidRPr="00F84A52">
              <w:rPr>
                <w:rFonts w:ascii="標楷體" w:eastAsia="標楷體" w:hAnsi="標楷體"/>
                <w:b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  <w:r w:rsidRPr="00F84A52">
              <w:rPr>
                <w:rFonts w:ascii="標楷體" w:eastAsia="標楷體" w:hAnsi="標楷體"/>
              </w:rPr>
              <w:t>毛利率(%)</w:t>
            </w:r>
          </w:p>
        </w:tc>
        <w:tc>
          <w:tcPr>
            <w:tcW w:w="2294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 w:rsidRPr="00F84A52">
              <w:rPr>
                <w:rFonts w:eastAsia="標楷體"/>
              </w:rPr>
              <w:t>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 w:rsidRPr="00F84A52">
              <w:rPr>
                <w:rFonts w:eastAsia="標楷體"/>
              </w:rPr>
              <w:t>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100.00</w:t>
            </w:r>
          </w:p>
        </w:tc>
      </w:tr>
      <w:tr w:rsidR="00993B55" w:rsidRPr="000B7F0D" w:rsidTr="0057500E">
        <w:trPr>
          <w:cantSplit/>
        </w:trPr>
        <w:tc>
          <w:tcPr>
            <w:tcW w:w="568" w:type="dxa"/>
            <w:vMerge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  <w:r w:rsidRPr="00F84A52">
              <w:rPr>
                <w:rFonts w:ascii="標楷體" w:eastAsia="標楷體" w:hAnsi="標楷體"/>
              </w:rPr>
              <w:t>流動比率(%)</w:t>
            </w:r>
          </w:p>
        </w:tc>
        <w:tc>
          <w:tcPr>
            <w:tcW w:w="2294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21.12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318.32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4,318.34</w:t>
            </w:r>
          </w:p>
        </w:tc>
      </w:tr>
      <w:tr w:rsidR="00993B55" w:rsidRPr="000B7F0D" w:rsidTr="0057500E">
        <w:trPr>
          <w:cantSplit/>
        </w:trPr>
        <w:tc>
          <w:tcPr>
            <w:tcW w:w="568" w:type="dxa"/>
            <w:vMerge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  <w:r w:rsidRPr="00F84A52">
              <w:rPr>
                <w:rFonts w:ascii="標楷體" w:eastAsia="標楷體" w:hAnsi="標楷體"/>
              </w:rPr>
              <w:t>應收帳款天數(天)</w:t>
            </w:r>
          </w:p>
        </w:tc>
        <w:tc>
          <w:tcPr>
            <w:tcW w:w="2294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 w:rsidRPr="00F84A52">
              <w:rPr>
                <w:rFonts w:eastAsia="標楷體"/>
              </w:rPr>
              <w:t>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 w:rsidRPr="00F84A52">
              <w:rPr>
                <w:rFonts w:eastAsia="標楷體"/>
              </w:rPr>
              <w:t>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-</w:t>
            </w:r>
          </w:p>
        </w:tc>
      </w:tr>
      <w:tr w:rsidR="00993B55" w:rsidRPr="000B7F0D" w:rsidTr="0057500E">
        <w:trPr>
          <w:cantSplit/>
        </w:trPr>
        <w:tc>
          <w:tcPr>
            <w:tcW w:w="568" w:type="dxa"/>
            <w:vMerge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  <w:r w:rsidRPr="00F84A52">
              <w:rPr>
                <w:rFonts w:ascii="標楷體" w:eastAsia="標楷體" w:hAnsi="標楷體"/>
              </w:rPr>
              <w:t>存貨週轉天數(天)</w:t>
            </w:r>
          </w:p>
        </w:tc>
        <w:tc>
          <w:tcPr>
            <w:tcW w:w="2294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 w:rsidRPr="00F84A52">
              <w:rPr>
                <w:rFonts w:eastAsia="標楷體"/>
              </w:rPr>
              <w:t>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 w:rsidRPr="00F84A52">
              <w:rPr>
                <w:rFonts w:eastAsia="標楷體"/>
              </w:rPr>
              <w:t>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proofErr w:type="gramStart"/>
            <w:r w:rsidRPr="00F84A52">
              <w:rPr>
                <w:rFonts w:eastAsia="標楷體" w:hAnsi="標楷體"/>
              </w:rPr>
              <w:t>註</w:t>
            </w:r>
            <w:proofErr w:type="gramEnd"/>
            <w:r w:rsidRPr="00F84A52">
              <w:rPr>
                <w:rFonts w:eastAsia="標楷體"/>
              </w:rPr>
              <w:t>2</w:t>
            </w:r>
          </w:p>
        </w:tc>
      </w:tr>
      <w:tr w:rsidR="00993B55" w:rsidRPr="00A261B6" w:rsidTr="0057500E">
        <w:trPr>
          <w:cantSplit/>
        </w:trPr>
        <w:tc>
          <w:tcPr>
            <w:tcW w:w="568" w:type="dxa"/>
            <w:vMerge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993B55" w:rsidRPr="00F84A52" w:rsidRDefault="00993B55" w:rsidP="0057500E">
            <w:pPr>
              <w:jc w:val="both"/>
              <w:rPr>
                <w:rFonts w:ascii="標楷體" w:eastAsia="標楷體" w:hAnsi="標楷體"/>
              </w:rPr>
            </w:pPr>
            <w:r w:rsidRPr="00F84A52">
              <w:rPr>
                <w:rFonts w:ascii="標楷體" w:eastAsia="標楷體" w:hAnsi="標楷體"/>
              </w:rPr>
              <w:t>負債比率(%)</w:t>
            </w:r>
          </w:p>
        </w:tc>
        <w:tc>
          <w:tcPr>
            <w:tcW w:w="2294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315.62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15.48</w:t>
            </w:r>
          </w:p>
        </w:tc>
        <w:tc>
          <w:tcPr>
            <w:tcW w:w="2160" w:type="dxa"/>
          </w:tcPr>
          <w:p w:rsidR="00993B55" w:rsidRPr="00F84A52" w:rsidRDefault="00993B55" w:rsidP="0057500E">
            <w:pPr>
              <w:jc w:val="center"/>
              <w:rPr>
                <w:rFonts w:eastAsia="標楷體"/>
              </w:rPr>
            </w:pPr>
            <w:r w:rsidRPr="00F84A52">
              <w:rPr>
                <w:rFonts w:eastAsia="標楷體"/>
              </w:rPr>
              <w:t>1.88</w:t>
            </w:r>
          </w:p>
        </w:tc>
      </w:tr>
    </w:tbl>
    <w:p w:rsidR="00993B55" w:rsidRPr="00F84A52" w:rsidRDefault="00993B55" w:rsidP="00993B55">
      <w:pPr>
        <w:ind w:left="566" w:hangingChars="283" w:hanging="566"/>
        <w:jc w:val="both"/>
        <w:rPr>
          <w:rFonts w:eastAsia="標楷體"/>
          <w:sz w:val="20"/>
          <w:szCs w:val="20"/>
        </w:rPr>
      </w:pPr>
      <w:proofErr w:type="gramStart"/>
      <w:r w:rsidRPr="00F84A52">
        <w:rPr>
          <w:rFonts w:eastAsia="標楷體"/>
          <w:sz w:val="20"/>
          <w:szCs w:val="20"/>
        </w:rPr>
        <w:t>註</w:t>
      </w:r>
      <w:proofErr w:type="gramEnd"/>
      <w:r w:rsidRPr="00F84A52">
        <w:rPr>
          <w:rFonts w:eastAsia="標楷體"/>
          <w:sz w:val="20"/>
          <w:szCs w:val="20"/>
        </w:rPr>
        <w:t>1</w:t>
      </w:r>
      <w:r w:rsidRPr="00F84A52">
        <w:rPr>
          <w:rFonts w:eastAsia="標楷體"/>
          <w:sz w:val="20"/>
          <w:szCs w:val="20"/>
        </w:rPr>
        <w:t>：</w:t>
      </w:r>
      <w:proofErr w:type="gramStart"/>
      <w:r w:rsidRPr="00F84A52">
        <w:rPr>
          <w:rFonts w:eastAsia="標楷體"/>
          <w:sz w:val="20"/>
          <w:szCs w:val="20"/>
        </w:rPr>
        <w:t>101</w:t>
      </w:r>
      <w:proofErr w:type="gramEnd"/>
      <w:r w:rsidRPr="00F84A52">
        <w:rPr>
          <w:rFonts w:eastAsia="標楷體"/>
          <w:sz w:val="20"/>
          <w:szCs w:val="20"/>
        </w:rPr>
        <w:t>年度～</w:t>
      </w:r>
      <w:proofErr w:type="gramStart"/>
      <w:r w:rsidRPr="00F84A52">
        <w:rPr>
          <w:rFonts w:eastAsia="標楷體"/>
          <w:sz w:val="20"/>
          <w:szCs w:val="20"/>
        </w:rPr>
        <w:t>102</w:t>
      </w:r>
      <w:proofErr w:type="gramEnd"/>
      <w:r w:rsidRPr="00F84A52">
        <w:rPr>
          <w:rFonts w:eastAsia="標楷體"/>
          <w:sz w:val="20"/>
          <w:szCs w:val="20"/>
        </w:rPr>
        <w:t>年度係採用我國財務會計準則</w:t>
      </w:r>
      <w:r w:rsidRPr="00F84A52">
        <w:rPr>
          <w:rFonts w:eastAsia="標楷體"/>
          <w:sz w:val="20"/>
          <w:szCs w:val="20"/>
        </w:rPr>
        <w:t>GAAP</w:t>
      </w:r>
      <w:r w:rsidRPr="00F84A52">
        <w:rPr>
          <w:rFonts w:eastAsia="標楷體"/>
          <w:sz w:val="20"/>
          <w:szCs w:val="20"/>
        </w:rPr>
        <w:t>所編製之個體財務報告，</w:t>
      </w:r>
      <w:proofErr w:type="gramStart"/>
      <w:r w:rsidRPr="00F84A52">
        <w:rPr>
          <w:rFonts w:eastAsia="標楷體"/>
          <w:sz w:val="20"/>
          <w:szCs w:val="20"/>
        </w:rPr>
        <w:t>103</w:t>
      </w:r>
      <w:proofErr w:type="gramEnd"/>
      <w:r w:rsidRPr="00F84A52">
        <w:rPr>
          <w:rFonts w:eastAsia="標楷體"/>
          <w:sz w:val="20"/>
          <w:szCs w:val="20"/>
        </w:rPr>
        <w:t>年度係採用我國財務會計準則</w:t>
      </w:r>
      <w:r w:rsidRPr="00F84A52">
        <w:rPr>
          <w:rFonts w:eastAsia="標楷體"/>
          <w:sz w:val="20"/>
          <w:szCs w:val="20"/>
        </w:rPr>
        <w:t>GAAP</w:t>
      </w:r>
      <w:r w:rsidRPr="00F84A52">
        <w:rPr>
          <w:rFonts w:eastAsia="標楷體"/>
          <w:sz w:val="20"/>
          <w:szCs w:val="20"/>
        </w:rPr>
        <w:t>所編製之合併財務報告。</w:t>
      </w:r>
    </w:p>
    <w:p w:rsidR="00993B55" w:rsidRPr="00F84A52" w:rsidRDefault="00993B55" w:rsidP="00993B55">
      <w:pPr>
        <w:ind w:left="566" w:hangingChars="283" w:hanging="566"/>
        <w:jc w:val="both"/>
        <w:rPr>
          <w:rFonts w:eastAsia="標楷體"/>
          <w:kern w:val="0"/>
          <w:sz w:val="20"/>
          <w:szCs w:val="20"/>
        </w:rPr>
      </w:pPr>
      <w:proofErr w:type="gramStart"/>
      <w:r w:rsidRPr="00F84A52">
        <w:rPr>
          <w:rFonts w:eastAsia="標楷體" w:hAnsi="標楷體"/>
          <w:kern w:val="0"/>
          <w:sz w:val="20"/>
          <w:szCs w:val="20"/>
        </w:rPr>
        <w:t>註</w:t>
      </w:r>
      <w:proofErr w:type="gramEnd"/>
      <w:r w:rsidRPr="00F84A52">
        <w:rPr>
          <w:rFonts w:eastAsia="標楷體"/>
          <w:kern w:val="0"/>
          <w:sz w:val="20"/>
          <w:szCs w:val="20"/>
        </w:rPr>
        <w:t xml:space="preserve"> 2</w:t>
      </w:r>
      <w:r w:rsidRPr="00F84A52">
        <w:rPr>
          <w:rFonts w:eastAsia="標楷體" w:hAnsi="標楷體"/>
          <w:kern w:val="0"/>
          <w:sz w:val="20"/>
          <w:szCs w:val="20"/>
        </w:rPr>
        <w:t>：</w:t>
      </w:r>
      <w:proofErr w:type="gramStart"/>
      <w:r w:rsidRPr="00F84A52">
        <w:rPr>
          <w:rFonts w:eastAsia="標楷體"/>
          <w:kern w:val="0"/>
          <w:sz w:val="20"/>
          <w:szCs w:val="20"/>
        </w:rPr>
        <w:t>101</w:t>
      </w:r>
      <w:proofErr w:type="gramEnd"/>
      <w:r w:rsidRPr="00F84A52">
        <w:rPr>
          <w:rFonts w:eastAsia="標楷體" w:hAnsi="標楷體"/>
          <w:kern w:val="0"/>
          <w:sz w:val="20"/>
          <w:szCs w:val="20"/>
        </w:rPr>
        <w:t>年</w:t>
      </w:r>
      <w:r w:rsidRPr="00F84A52">
        <w:rPr>
          <w:rFonts w:eastAsia="標楷體"/>
          <w:sz w:val="20"/>
          <w:szCs w:val="20"/>
        </w:rPr>
        <w:t>度</w:t>
      </w:r>
      <w:r w:rsidRPr="00F84A52">
        <w:rPr>
          <w:rFonts w:eastAsia="標楷體" w:hAnsi="標楷體"/>
          <w:kern w:val="0"/>
          <w:sz w:val="20"/>
          <w:szCs w:val="20"/>
        </w:rPr>
        <w:t>及</w:t>
      </w:r>
      <w:proofErr w:type="gramStart"/>
      <w:r w:rsidRPr="00F84A52">
        <w:rPr>
          <w:rFonts w:eastAsia="標楷體"/>
          <w:kern w:val="0"/>
          <w:sz w:val="20"/>
          <w:szCs w:val="20"/>
        </w:rPr>
        <w:t>102</w:t>
      </w:r>
      <w:proofErr w:type="gramEnd"/>
      <w:r w:rsidRPr="00F84A52">
        <w:rPr>
          <w:rFonts w:eastAsia="標楷體" w:hAnsi="標楷體"/>
          <w:kern w:val="0"/>
          <w:sz w:val="20"/>
          <w:szCs w:val="20"/>
        </w:rPr>
        <w:t>年度並無銷售事宜，故部分能力之各項比率不擬計算；</w:t>
      </w:r>
      <w:proofErr w:type="gramStart"/>
      <w:r w:rsidRPr="00F84A52">
        <w:rPr>
          <w:rFonts w:eastAsia="標楷體"/>
          <w:kern w:val="0"/>
          <w:sz w:val="20"/>
          <w:szCs w:val="20"/>
        </w:rPr>
        <w:t>103</w:t>
      </w:r>
      <w:proofErr w:type="gramEnd"/>
      <w:r w:rsidRPr="00F84A52">
        <w:rPr>
          <w:rFonts w:eastAsia="標楷體" w:hAnsi="標楷體"/>
          <w:kern w:val="0"/>
          <w:sz w:val="20"/>
          <w:szCs w:val="20"/>
        </w:rPr>
        <w:t>年</w:t>
      </w:r>
      <w:r w:rsidRPr="00F84A52">
        <w:rPr>
          <w:rFonts w:eastAsia="標楷體"/>
          <w:sz w:val="20"/>
          <w:szCs w:val="20"/>
        </w:rPr>
        <w:t>度</w:t>
      </w:r>
      <w:r w:rsidRPr="00F84A52">
        <w:rPr>
          <w:rFonts w:eastAsia="標楷體" w:hAnsi="標楷體"/>
          <w:kern w:val="0"/>
          <w:sz w:val="20"/>
          <w:szCs w:val="20"/>
        </w:rPr>
        <w:t>雖有銷售事宜，但未進行生產作業，故部分經營能力之各項比率不擬計算。</w:t>
      </w:r>
    </w:p>
    <w:p w:rsidR="00993B55" w:rsidRPr="001A2D0A" w:rsidRDefault="00993B55" w:rsidP="00993B55">
      <w:pPr>
        <w:ind w:left="679" w:hangingChars="283" w:hanging="679"/>
        <w:jc w:val="both"/>
        <w:rPr>
          <w:rFonts w:eastAsia="標楷體"/>
        </w:rPr>
      </w:pPr>
      <w:r w:rsidRPr="00C63B6C">
        <w:rPr>
          <w:rFonts w:ascii="標楷體" w:eastAsia="標楷體" w:hAnsi="標楷體" w:hint="eastAsia"/>
        </w:rPr>
        <w:t xml:space="preserve">                                                         </w:t>
      </w:r>
    </w:p>
    <w:p w:rsidR="00993B55" w:rsidRPr="00A261B6" w:rsidRDefault="00993B55" w:rsidP="00993B55">
      <w:pPr>
        <w:jc w:val="both"/>
        <w:rPr>
          <w:rFonts w:eastAsia="標楷體"/>
        </w:rPr>
      </w:pPr>
      <w:r w:rsidRPr="00A261B6">
        <w:rPr>
          <w:rFonts w:eastAsia="標楷體"/>
        </w:rPr>
        <w:t xml:space="preserve">                                                                          </w:t>
      </w:r>
      <w:r>
        <w:rPr>
          <w:rFonts w:eastAsia="標楷體"/>
          <w:noProof/>
        </w:rPr>
        <w:drawing>
          <wp:inline distT="0" distB="0" distL="0" distR="0">
            <wp:extent cx="409575" cy="152400"/>
            <wp:effectExtent l="19050" t="0" r="9525" b="0"/>
            <wp:docPr id="6" name="圖片 6" descr="icon_to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55" w:rsidRPr="00A261B6" w:rsidRDefault="00993B55" w:rsidP="00993B55">
      <w:pPr>
        <w:rPr>
          <w:rFonts w:eastAsia="標楷體"/>
          <w:color w:val="FE8531"/>
          <w:sz w:val="20"/>
          <w:szCs w:val="20"/>
        </w:rPr>
      </w:pPr>
      <w:r w:rsidRPr="00A261B6">
        <w:rPr>
          <w:rFonts w:eastAsia="標楷體" w:hAnsi="標楷體"/>
          <w:color w:val="FF6600"/>
          <w:sz w:val="20"/>
          <w:szCs w:val="20"/>
        </w:rPr>
        <w:t>投資人若欲查詢該公司更詳細之資料請連結至</w:t>
      </w:r>
      <w:hyperlink r:id="rId15" w:history="1">
        <w:r w:rsidRPr="00A261B6">
          <w:rPr>
            <w:rStyle w:val="a6"/>
            <w:rFonts w:eastAsia="標楷體" w:hAnsi="標楷體"/>
            <w:b/>
            <w:color w:val="3366FF"/>
            <w:sz w:val="20"/>
            <w:szCs w:val="20"/>
          </w:rPr>
          <w:t>公開資訊觀測站</w:t>
        </w:r>
      </w:hyperlink>
      <w:r w:rsidRPr="00A261B6">
        <w:rPr>
          <w:rFonts w:eastAsia="標楷體"/>
          <w:color w:val="FF6600"/>
          <w:sz w:val="20"/>
          <w:szCs w:val="20"/>
        </w:rPr>
        <w:t>!!</w:t>
      </w:r>
    </w:p>
    <w:p w:rsidR="000E432D" w:rsidRPr="00993B55" w:rsidRDefault="000E432D"/>
    <w:sectPr w:rsidR="000E432D" w:rsidRPr="00993B55" w:rsidSect="004D4E2A">
      <w:footerReference w:type="even" r:id="rId16"/>
      <w:footerReference w:type="default" r:id="rId17"/>
      <w:pgSz w:w="11906" w:h="16838" w:code="9"/>
      <w:pgMar w:top="1079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59" w:rsidRDefault="00995559" w:rsidP="004D4E2A">
      <w:r>
        <w:separator/>
      </w:r>
    </w:p>
  </w:endnote>
  <w:endnote w:type="continuationSeparator" w:id="0">
    <w:p w:rsidR="00995559" w:rsidRDefault="00995559" w:rsidP="004D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23" w:rsidRDefault="004D4E2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C7AA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1123" w:rsidRDefault="0099555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23" w:rsidRDefault="004D4E2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C7AA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208BA">
      <w:rPr>
        <w:rStyle w:val="af"/>
        <w:noProof/>
      </w:rPr>
      <w:t>7</w:t>
    </w:r>
    <w:r>
      <w:rPr>
        <w:rStyle w:val="af"/>
      </w:rPr>
      <w:fldChar w:fldCharType="end"/>
    </w:r>
  </w:p>
  <w:p w:rsidR="00161123" w:rsidRDefault="009955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59" w:rsidRDefault="00995559" w:rsidP="004D4E2A">
      <w:r>
        <w:separator/>
      </w:r>
    </w:p>
  </w:footnote>
  <w:footnote w:type="continuationSeparator" w:id="0">
    <w:p w:rsidR="00995559" w:rsidRDefault="00995559" w:rsidP="004D4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260"/>
    <w:multiLevelType w:val="hybridMultilevel"/>
    <w:tmpl w:val="A50C5C9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DF2EA4"/>
    <w:multiLevelType w:val="hybridMultilevel"/>
    <w:tmpl w:val="2D1E4446"/>
    <w:lvl w:ilvl="0" w:tplc="04090001">
      <w:start w:val="1"/>
      <w:numFmt w:val="bullet"/>
      <w:lvlText w:val=""/>
      <w:lvlJc w:val="left"/>
      <w:pPr>
        <w:ind w:left="10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B55"/>
    <w:rsid w:val="000E432D"/>
    <w:rsid w:val="001C7AA6"/>
    <w:rsid w:val="004208BA"/>
    <w:rsid w:val="004D4E2A"/>
    <w:rsid w:val="00993B55"/>
    <w:rsid w:val="0099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rsid w:val="00993B55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link w:val="a5"/>
    <w:semiHidden/>
    <w:rsid w:val="00993B55"/>
    <w:pPr>
      <w:spacing w:line="240" w:lineRule="exact"/>
    </w:pPr>
    <w:rPr>
      <w:rFonts w:eastAsia="標楷體"/>
      <w:color w:val="FF0000"/>
      <w:sz w:val="16"/>
    </w:rPr>
  </w:style>
  <w:style w:type="character" w:customStyle="1" w:styleId="a5">
    <w:name w:val="本文 字元"/>
    <w:basedOn w:val="a0"/>
    <w:link w:val="a4"/>
    <w:semiHidden/>
    <w:rsid w:val="00993B55"/>
    <w:rPr>
      <w:rFonts w:ascii="Times New Roman" w:eastAsia="標楷體" w:hAnsi="Times New Roman" w:cs="Times New Roman"/>
      <w:color w:val="FF0000"/>
      <w:sz w:val="16"/>
      <w:szCs w:val="24"/>
    </w:rPr>
  </w:style>
  <w:style w:type="paragraph" w:styleId="HTML">
    <w:name w:val="HTML Preformatted"/>
    <w:basedOn w:val="a"/>
    <w:link w:val="HTML0"/>
    <w:semiHidden/>
    <w:rsid w:val="00993B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993B55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semiHidden/>
    <w:rsid w:val="00993B55"/>
    <w:rPr>
      <w:rFonts w:ascii="Arial Unicode MS" w:eastAsia="Arial Unicode MS" w:hAnsi="Arial Unicode MS" w:cs="Arial Unicode MS"/>
      <w:sz w:val="20"/>
      <w:szCs w:val="20"/>
    </w:rPr>
  </w:style>
  <w:style w:type="paragraph" w:styleId="Web">
    <w:name w:val="Normal (Web)"/>
    <w:basedOn w:val="a"/>
    <w:semiHidden/>
    <w:rsid w:val="00993B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Hyperlink"/>
    <w:semiHidden/>
    <w:rsid w:val="00993B55"/>
    <w:rPr>
      <w:color w:val="0000FF"/>
      <w:u w:val="single"/>
    </w:rPr>
  </w:style>
  <w:style w:type="paragraph" w:styleId="a7">
    <w:name w:val="header"/>
    <w:basedOn w:val="a"/>
    <w:link w:val="a8"/>
    <w:semiHidden/>
    <w:rsid w:val="00993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semiHidden/>
    <w:rsid w:val="00993B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semiHidden/>
    <w:rsid w:val="00993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semiHidden/>
    <w:rsid w:val="00993B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macro"/>
    <w:link w:val="ac"/>
    <w:semiHidden/>
    <w:rsid w:val="00993B5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4"/>
    </w:rPr>
  </w:style>
  <w:style w:type="character" w:customStyle="1" w:styleId="ac">
    <w:name w:val="巨集文字 字元"/>
    <w:basedOn w:val="a0"/>
    <w:link w:val="ab"/>
    <w:semiHidden/>
    <w:rsid w:val="00993B55"/>
    <w:rPr>
      <w:rFonts w:ascii="Courier New" w:eastAsia="新細明體" w:hAnsi="Courier New" w:cs="Times New Roman"/>
      <w:szCs w:val="24"/>
    </w:rPr>
  </w:style>
  <w:style w:type="paragraph" w:styleId="ad">
    <w:name w:val="Date"/>
    <w:basedOn w:val="a"/>
    <w:next w:val="a"/>
    <w:link w:val="ae"/>
    <w:semiHidden/>
    <w:rsid w:val="00993B55"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customStyle="1" w:styleId="ae">
    <w:name w:val="日期 字元"/>
    <w:basedOn w:val="a0"/>
    <w:link w:val="ad"/>
    <w:semiHidden/>
    <w:rsid w:val="00993B55"/>
    <w:rPr>
      <w:rFonts w:ascii="Times New Roman" w:eastAsia="標楷體" w:hAnsi="Times New Roman" w:cs="Times New Roman"/>
      <w:kern w:val="0"/>
      <w:szCs w:val="20"/>
    </w:rPr>
  </w:style>
  <w:style w:type="character" w:styleId="af">
    <w:name w:val="page number"/>
    <w:basedOn w:val="a0"/>
    <w:semiHidden/>
    <w:rsid w:val="00993B55"/>
  </w:style>
  <w:style w:type="paragraph" w:styleId="af0">
    <w:name w:val="List Paragraph"/>
    <w:basedOn w:val="a"/>
    <w:uiPriority w:val="34"/>
    <w:qFormat/>
    <w:rsid w:val="00993B55"/>
    <w:pPr>
      <w:adjustRightInd w:val="0"/>
      <w:spacing w:line="360" w:lineRule="atLeast"/>
      <w:ind w:leftChars="200" w:left="480"/>
      <w:jc w:val="both"/>
      <w:textAlignment w:val="baseline"/>
    </w:pPr>
    <w:rPr>
      <w:rFonts w:eastAsia="Times New Roman"/>
      <w:kern w:val="0"/>
      <w:sz w:val="20"/>
      <w:szCs w:val="20"/>
    </w:rPr>
  </w:style>
  <w:style w:type="paragraph" w:customStyle="1" w:styleId="1">
    <w:name w:val="1."/>
    <w:aliases w:val="標題4"/>
    <w:basedOn w:val="a"/>
    <w:rsid w:val="00993B55"/>
    <w:pPr>
      <w:adjustRightInd w:val="0"/>
      <w:spacing w:line="420" w:lineRule="atLeast"/>
      <w:ind w:left="1219" w:hanging="198"/>
      <w:jc w:val="both"/>
    </w:pPr>
    <w:rPr>
      <w:rFonts w:eastAsia="標楷體"/>
      <w:kern w:val="0"/>
      <w:sz w:val="2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9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93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#&#31532;&#19968;&#38913;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#&#31532;&#19968;&#38913;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newmops.tse.com.tw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#&#31532;&#19968;&#38913;"/><Relationship Id="rId14" Type="http://schemas.openxmlformats.org/officeDocument/2006/relationships/hyperlink" Target="#&#31532;&#19968;&#38913;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2016-01-11T08:17:00Z</dcterms:created>
  <dcterms:modified xsi:type="dcterms:W3CDTF">2016-01-11T10:15:00Z</dcterms:modified>
</cp:coreProperties>
</file>