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23" w:rsidRDefault="00161123">
      <w:pPr>
        <w:pStyle w:val="a7"/>
        <w:rPr>
          <w:rFonts w:ascii="新細明體" w:hAnsi="新細明體"/>
          <w:color w:val="FF6600"/>
        </w:rPr>
      </w:pPr>
    </w:p>
    <w:p w:rsidR="00161123" w:rsidRDefault="00450137">
      <w:pPr>
        <w:pStyle w:val="a7"/>
        <w:rPr>
          <w:rFonts w:ascii="新細明體" w:hAnsi="新細明體"/>
          <w:color w:val="FF6600"/>
        </w:rPr>
      </w:pPr>
      <w:r>
        <w:rPr>
          <w:noProof/>
        </w:rPr>
        <mc:AlternateContent>
          <mc:Choice Requires="wps">
            <w:drawing>
              <wp:anchor distT="0" distB="0" distL="114300" distR="114300" simplePos="0" relativeHeight="251664384" behindDoc="0" locked="0" layoutInCell="1" allowOverlap="1">
                <wp:simplePos x="0" y="0"/>
                <wp:positionH relativeFrom="column">
                  <wp:posOffset>2058035</wp:posOffset>
                </wp:positionH>
                <wp:positionV relativeFrom="paragraph">
                  <wp:posOffset>161925</wp:posOffset>
                </wp:positionV>
                <wp:extent cx="2009140" cy="373380"/>
                <wp:effectExtent l="6350" t="12065" r="13335" b="508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CA2E82" w:rsidRPr="00DA75FC" w:rsidRDefault="00CA2E82"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3xPQIAAFU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FWqH9BimUaO7m8+337/e3fy4/faFjCNFrfU5Rl5bjA3dM+gwPJXr7RXwD54YWDbMrMWF&#10;c9A2glWY4ijezI6u9jg+gpTtK6jwKbYJkIC62unIHzJCEB1z2R3kEV0gHA9R77PRCbo4+iank8ks&#10;6Zex/P62dT68EKBJ3BTUofwJnW2vfIjZsPw+JD7mQclqJZVKhluXS+XIlmGrrNKXCngQpgxpC3o2&#10;HU97Av4KMUzfnyC0DNjzSuqCzg5BLI+0PTdV6sjApOr3mLIyex4jdT2JoSu7vS4lVDtk1EHf2ziL&#10;uGnAfaKkxb4uqP+4YU5Qol4aVAUZjBSGZJxMT8douGNPeexhhiNUQQMl/XYZ+uHZWCfXDb7U94GB&#10;C1SylonkKHmf1T5v7N3E/X7O4nAc2ynq199g8RMAAP//AwBQSwMEFAAGAAgAAAAhANHgNVXfAAAA&#10;CQEAAA8AAABkcnMvZG93bnJldi54bWxMj8FOwzAMhu9IvENkJC5oS9d2ZZSmE0ICsRtsCK5Z47UV&#10;iVOSrCtvT3aCmy3/+vz91Xoymo3ofG9JwGKeAENqrOqpFfC+e5qtgPkgSUltCQX8oId1fXlRyVLZ&#10;E73huA0tixDypRTQhTCUnPumQyP93A5I8XawzsgQV9dy5eQpwo3maZIU3Mie4odODvjYYfO1PRoB&#10;q/xl/PSb7PWjKQ76Ltzcjs/fTojrq+nhHljAKfyF4awf1aGOTnt7JOWZFpCl+SJGBaTLJbAYKPIk&#10;DvszPQNeV/x/g/oXAAD//wMAUEsBAi0AFAAGAAgAAAAhALaDOJL+AAAA4QEAABMAAAAAAAAAAAAA&#10;AAAAAAAAAFtDb250ZW50X1R5cGVzXS54bWxQSwECLQAUAAYACAAAACEAOP0h/9YAAACUAQAACwAA&#10;AAAAAAAAAAAAAAAvAQAAX3JlbHMvLnJlbHNQSwECLQAUAAYACAAAACEAonLN8T0CAABVBAAADgAA&#10;AAAAAAAAAAAAAAAuAgAAZHJzL2Uyb0RvYy54bWxQSwECLQAUAAYACAAAACEA0eA1Vd8AAAAJAQAA&#10;DwAAAAAAAAAAAAAAAACXBAAAZHJzL2Rvd25yZXYueG1sUEsFBgAAAAAEAAQA8wAAAKMFAAAAAA==&#10;">
                <v:textbox>
                  <w:txbxContent>
                    <w:p w:rsidR="00CA2E82" w:rsidRPr="00DA75FC" w:rsidRDefault="00CA2E82"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sidR="007B3716">
        <w:rPr>
          <w:rFonts w:ascii="新細明體" w:hAnsi="新細明體" w:hint="eastAsia"/>
          <w:noProof/>
          <w:color w:val="FF6600"/>
        </w:rPr>
        <w:drawing>
          <wp:inline distT="0" distB="0" distL="0" distR="0">
            <wp:extent cx="6122670" cy="707390"/>
            <wp:effectExtent l="19050" t="0" r="0"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9" cstate="print"/>
                    <a:srcRect/>
                    <a:stretch>
                      <a:fillRect/>
                    </a:stretch>
                  </pic:blipFill>
                  <pic:spPr bwMode="auto">
                    <a:xfrm>
                      <a:off x="0" y="0"/>
                      <a:ext cx="6122670" cy="707390"/>
                    </a:xfrm>
                    <a:prstGeom prst="rect">
                      <a:avLst/>
                    </a:prstGeom>
                    <a:noFill/>
                    <a:ln w="9525">
                      <a:noFill/>
                      <a:miter lim="800000"/>
                      <a:headEnd/>
                      <a:tailEnd/>
                    </a:ln>
                  </pic:spPr>
                </pic:pic>
              </a:graphicData>
            </a:graphic>
          </wp:inline>
        </w:drawing>
      </w:r>
    </w:p>
    <w:p w:rsidR="00161123" w:rsidRPr="00BC38BA" w:rsidRDefault="00161123">
      <w:pPr>
        <w:rPr>
          <w:rFonts w:eastAsia="標楷體"/>
          <w:b/>
          <w:bCs/>
          <w:color w:val="0000FF"/>
          <w:szCs w:val="20"/>
        </w:rPr>
      </w:pPr>
      <w:r w:rsidRPr="00BC38BA">
        <w:rPr>
          <w:rFonts w:eastAsia="標楷體"/>
          <w:b/>
          <w:bCs/>
          <w:color w:val="0000FF"/>
          <w:szCs w:val="20"/>
        </w:rPr>
        <w:t>以下資料由</w:t>
      </w:r>
      <w:r w:rsidR="00B43FA9">
        <w:rPr>
          <w:rFonts w:eastAsia="標楷體" w:hint="eastAsia"/>
          <w:b/>
          <w:bCs/>
          <w:color w:val="0000FF"/>
          <w:szCs w:val="20"/>
        </w:rPr>
        <w:t>台興電子企業</w:t>
      </w:r>
      <w:r w:rsidR="00BA261F" w:rsidRPr="00BC38BA">
        <w:rPr>
          <w:rFonts w:eastAsia="標楷體"/>
          <w:b/>
          <w:bCs/>
          <w:color w:val="0000FF"/>
          <w:szCs w:val="20"/>
        </w:rPr>
        <w:t>股份有限</w:t>
      </w:r>
      <w:r w:rsidRPr="00BC38BA">
        <w:rPr>
          <w:rFonts w:eastAsia="標楷體"/>
          <w:b/>
          <w:bCs/>
          <w:color w:val="0000FF"/>
          <w:szCs w:val="20"/>
        </w:rPr>
        <w:t>公司</w:t>
      </w:r>
      <w:r w:rsidR="00BF2B97" w:rsidRPr="00BC38BA">
        <w:rPr>
          <w:rFonts w:eastAsia="標楷體"/>
          <w:b/>
          <w:bCs/>
          <w:color w:val="FF0000"/>
          <w:szCs w:val="20"/>
          <w:u w:val="single"/>
          <w:shd w:val="pct15" w:color="auto" w:fill="FFFFFF"/>
        </w:rPr>
        <w:t>及其推薦證券商</w:t>
      </w:r>
      <w:r w:rsidR="00A277D2" w:rsidRPr="00BC38BA">
        <w:rPr>
          <w:rFonts w:eastAsia="標楷體"/>
          <w:b/>
          <w:bCs/>
          <w:color w:val="0000FF"/>
          <w:szCs w:val="20"/>
        </w:rPr>
        <w:t>提供</w:t>
      </w:r>
      <w:r w:rsidRPr="00BC38BA">
        <w:rPr>
          <w:rFonts w:eastAsia="標楷體"/>
          <w:b/>
          <w:bCs/>
          <w:color w:val="0000FF"/>
          <w:szCs w:val="20"/>
        </w:rPr>
        <w:t>，資料若有錯誤、遺漏或虛偽不實，</w:t>
      </w:r>
      <w:proofErr w:type="gramStart"/>
      <w:r w:rsidRPr="00BC38BA">
        <w:rPr>
          <w:rFonts w:eastAsia="標楷體"/>
          <w:b/>
          <w:bCs/>
          <w:color w:val="0000FF"/>
          <w:szCs w:val="20"/>
        </w:rPr>
        <w:t>均由該</w:t>
      </w:r>
      <w:proofErr w:type="gramEnd"/>
      <w:r w:rsidRPr="00BC38BA">
        <w:rPr>
          <w:rFonts w:eastAsia="標楷體"/>
          <w:b/>
          <w:bCs/>
          <w:color w:val="0000FF"/>
          <w:szCs w:val="20"/>
        </w:rPr>
        <w:t>公司</w:t>
      </w:r>
      <w:r w:rsidR="00BF2B97" w:rsidRPr="00BC38BA">
        <w:rPr>
          <w:rFonts w:eastAsia="標楷體"/>
          <w:b/>
          <w:bCs/>
          <w:color w:val="FF0000"/>
          <w:szCs w:val="20"/>
          <w:u w:val="single"/>
          <w:shd w:val="pct15" w:color="auto" w:fill="FFFFFF"/>
        </w:rPr>
        <w:t>及其推薦證券商</w:t>
      </w:r>
      <w:r w:rsidRPr="00BC38BA">
        <w:rPr>
          <w:rFonts w:eastAsia="標楷體"/>
          <w:b/>
          <w:bCs/>
          <w:color w:val="0000FF"/>
          <w:szCs w:val="20"/>
        </w:rPr>
        <w:t>負責。</w:t>
      </w:r>
    </w:p>
    <w:p w:rsidR="00F97EB6" w:rsidRPr="00BC38BA" w:rsidRDefault="00F97EB6">
      <w:pPr>
        <w:rPr>
          <w:rFonts w:eastAsia="標楷體"/>
          <w:b/>
          <w:bCs/>
          <w:color w:val="FF0000"/>
          <w:szCs w:val="20"/>
          <w:u w:val="single"/>
          <w:shd w:val="pct15" w:color="auto" w:fill="FFFFFF"/>
        </w:rPr>
      </w:pPr>
      <w:r w:rsidRPr="00BC38BA">
        <w:rPr>
          <w:rFonts w:eastAsia="標楷體"/>
          <w:b/>
          <w:bCs/>
          <w:color w:val="FF0000"/>
          <w:szCs w:val="20"/>
          <w:u w:val="single"/>
          <w:shd w:val="pct15" w:color="auto" w:fill="FFFFFF"/>
        </w:rPr>
        <w:t>以下揭露之認購價格及依據等資訊，係申請</w:t>
      </w:r>
      <w:proofErr w:type="gramStart"/>
      <w:r w:rsidRPr="00BC38BA">
        <w:rPr>
          <w:rFonts w:eastAsia="標楷體"/>
          <w:b/>
          <w:bCs/>
          <w:color w:val="FF0000"/>
          <w:szCs w:val="20"/>
          <w:u w:val="single"/>
          <w:shd w:val="pct15" w:color="auto" w:fill="FFFFFF"/>
        </w:rPr>
        <w:t>登錄興櫃公司</w:t>
      </w:r>
      <w:proofErr w:type="gramEnd"/>
      <w:r w:rsidRPr="00BC38BA">
        <w:rPr>
          <w:rFonts w:eastAsia="標楷體"/>
          <w:b/>
          <w:bCs/>
          <w:color w:val="FF0000"/>
          <w:szCs w:val="20"/>
          <w:u w:val="single"/>
          <w:shd w:val="pct15" w:color="auto" w:fill="FFFFFF"/>
        </w:rPr>
        <w:t>與其推薦證券商依認購當時綜合考量各種因素後所議定。</w:t>
      </w:r>
      <w:proofErr w:type="gramStart"/>
      <w:r w:rsidRPr="00BC38BA">
        <w:rPr>
          <w:rFonts w:eastAsia="標楷體"/>
          <w:b/>
          <w:bCs/>
          <w:color w:val="FF0000"/>
          <w:szCs w:val="20"/>
          <w:u w:val="single"/>
          <w:shd w:val="pct15" w:color="auto" w:fill="FFFFFF"/>
        </w:rPr>
        <w:t>由於興櫃公司</w:t>
      </w:r>
      <w:proofErr w:type="gramEnd"/>
      <w:r w:rsidRPr="00BC38BA">
        <w:rPr>
          <w:rFonts w:eastAsia="標楷體"/>
          <w:b/>
          <w:bCs/>
          <w:color w:val="FF0000"/>
          <w:szCs w:val="20"/>
          <w:u w:val="single"/>
          <w:shd w:val="pct15" w:color="auto" w:fill="FFFFFF"/>
        </w:rPr>
        <w:t>財務業務狀況及資本市場將隨時空而變動，投資人切勿以上開資訊作為投資判斷之唯一依據，</w:t>
      </w:r>
      <w:proofErr w:type="gramStart"/>
      <w:r w:rsidRPr="00BC38BA">
        <w:rPr>
          <w:rFonts w:eastAsia="標楷體"/>
          <w:b/>
          <w:bCs/>
          <w:color w:val="FF0000"/>
          <w:szCs w:val="20"/>
          <w:u w:val="single"/>
          <w:shd w:val="pct15" w:color="auto" w:fill="FFFFFF"/>
        </w:rPr>
        <w:t>務</w:t>
      </w:r>
      <w:proofErr w:type="gramEnd"/>
      <w:r w:rsidRPr="00BC38BA">
        <w:rPr>
          <w:rFonts w:eastAsia="標楷體"/>
          <w:b/>
          <w:bCs/>
          <w:color w:val="FF0000"/>
          <w:szCs w:val="20"/>
          <w:u w:val="single"/>
          <w:shd w:val="pct15" w:color="auto" w:fill="FFFFFF"/>
        </w:rPr>
        <w:t>請特別</w:t>
      </w:r>
      <w:r w:rsidR="00A277D2" w:rsidRPr="00BC38BA">
        <w:rPr>
          <w:rFonts w:eastAsia="標楷體"/>
          <w:b/>
          <w:bCs/>
          <w:color w:val="FF0000"/>
          <w:szCs w:val="20"/>
          <w:u w:val="single"/>
          <w:shd w:val="pct15" w:color="auto" w:fill="FFFFFF"/>
        </w:rPr>
        <w:t>注</w:t>
      </w:r>
      <w:r w:rsidRPr="00BC38BA">
        <w:rPr>
          <w:rFonts w:eastAsia="標楷體"/>
          <w:b/>
          <w:bCs/>
          <w:color w:val="FF0000"/>
          <w:szCs w:val="20"/>
          <w:u w:val="single"/>
          <w:shd w:val="pct15" w:color="auto" w:fill="FFFFFF"/>
        </w:rPr>
        <w:t>意</w:t>
      </w:r>
    </w:p>
    <w:p w:rsidR="00161123" w:rsidRPr="00BC38BA" w:rsidRDefault="00450137">
      <w:pPr>
        <w:tabs>
          <w:tab w:val="left" w:pos="1125"/>
        </w:tabs>
        <w:rPr>
          <w:rFonts w:eastAsia="標楷體"/>
          <w:b/>
          <w:bCs/>
          <w:color w:val="FF6600"/>
          <w:sz w:val="20"/>
          <w:szCs w:val="20"/>
        </w:rPr>
      </w:pPr>
      <w:r>
        <w:rPr>
          <w:rFonts w:eastAsia="標楷體"/>
          <w:b/>
          <w:bCs/>
          <w:noProof/>
          <w:color w:val="FF6600"/>
        </w:rPr>
        <mc:AlternateContent>
          <mc:Choice Requires="wps">
            <w:drawing>
              <wp:anchor distT="0" distB="0" distL="114300" distR="114300" simplePos="0" relativeHeight="251651072" behindDoc="1" locked="0" layoutInCell="1" allowOverlap="1">
                <wp:simplePos x="0" y="0"/>
                <wp:positionH relativeFrom="column">
                  <wp:posOffset>0</wp:posOffset>
                </wp:positionH>
                <wp:positionV relativeFrom="paragraph">
                  <wp:posOffset>175895</wp:posOffset>
                </wp:positionV>
                <wp:extent cx="6105525" cy="1238250"/>
                <wp:effectExtent l="0" t="0" r="3810" b="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E82" w:rsidRDefault="00CA2E82">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0;margin-top:13.85pt;width:480.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lIiQIAABgFAAAOAAAAZHJzL2Uyb0RvYy54bWysVG1v2yAQ/j5p/wHxPfXL7DS26lRNM0+T&#10;uhep3Q8ggGM0GxiQ2N20/74DJ2nWbdI0zR8wcMfD3T3PcXU99h3ac2OFkhVOLmKMuKSKCbmt8KeH&#10;erbAyDoiGemU5BV+5BZfL1++uBp0yVPVqo5xgwBE2nLQFW6d02UUWdryntgLpbkEY6NMTxwszTZi&#10;hgyA3ndRGsfzaFCGaaMotxZ215MRLwN+03DqPjSN5Q51FYbYXBhNGDd+jJZXpNwaoltBD2GQf4ii&#10;J0LCpSeoNXEE7Yz4BaoX1CirGndBVR+pphGUhxwgmyR+ls19SzQPuUBxrD6Vyf4/WPp+/9EgwSpc&#10;YCRJDxQ98NGhlRrRPPflGbQtweteg58bYR9oDqlafafoZ4ukum2J3PIbY9TQcsIgvMSfjM6OTjjW&#10;g2yGd4rBPWTnVAAaG9P72kE1EKADTY8nanwsFDbnSZznaY4RBVuSvlqkeSAvIuXxuDbWveGqR35S&#10;YQPcB3iyv7POh0PKo4u/zapOsFp0XViY7ea2M2hPQCd1Xa9er0MGz9w66Z2l8scmxGkHooQ7vM3H&#10;G3j/ViRpFq/SYlbPF5ezrM7yWXEZL2ZxUqyKeZwV2br+7gNMsrIVjHF5JyQ/ajDJ/o7jQzdM6gkq&#10;RANw6UsV8vpjknH4fpdkLxy0ZCf6Ci9OTqT0zL6WDNImpSOim+bRz+GHKkMNjv9QlaADT/0kAjdu&#10;xqC4IBKvkY1ijyAMo4A2YB+eE5i0ynzFaIDWrLD9siOGY9S9lSCuIsky38thkeWXKSzMuWVzbiGS&#10;AlSFHUbT9NZN/b/TRmxbuGmSs1Q3IMhGBKk8RXWQMbRfyOnwVPj+Pl8Hr6cHbfkDAAD//wMAUEsD&#10;BBQABgAIAAAAIQD1wVIq2wAAAAcBAAAPAAAAZHJzL2Rvd25yZXYueG1sTI/BTsMwEETvSP0Haytx&#10;o04ikUCIUyEQvdNUosdNvE2ixuvIdtvw95gTHHdmNPO22i5mEldyfrSsIN0kIIg7q0fuFRyaj4cn&#10;ED4ga5wsk4Jv8rCtV3cVltre+JOu+9CLWMK+RAVDCHMppe8GMug3diaO3sk6gyGerpfa4S2Wm0lm&#10;SZJLgyPHhQFnehuoO+8vRgE2uzlti8Z5ar5O+S4c3/X5qNT9enl9ARFoCX9h+MWP6FBHptZeWHsx&#10;KYiPBAVZUYCI7nOePoJoo5BlBci6kv/56x8AAAD//wMAUEsBAi0AFAAGAAgAAAAhALaDOJL+AAAA&#10;4QEAABMAAAAAAAAAAAAAAAAAAAAAAFtDb250ZW50X1R5cGVzXS54bWxQSwECLQAUAAYACAAAACEA&#10;OP0h/9YAAACUAQAACwAAAAAAAAAAAAAAAAAvAQAAX3JlbHMvLnJlbHNQSwECLQAUAAYACAAAACEA&#10;xLN5SIkCAAAYBQAADgAAAAAAAAAAAAAAAAAuAgAAZHJzL2Uyb0RvYy54bWxQSwECLQAUAAYACAAA&#10;ACEA9cFSKtsAAAAHAQAADwAAAAAAAAAAAAAAAADjBAAAZHJzL2Rvd25yZXYueG1sUEsFBgAAAAAE&#10;AAQA8wAAAOsFAAAAAA==&#10;" fillcolor="#fffbed" stroked="f">
                <v:textbox>
                  <w:txbxContent>
                    <w:p w:rsidR="00CA2E82" w:rsidRDefault="00CA2E82">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61123" w:rsidRPr="00BC38BA" w:rsidRDefault="007B3716">
      <w:pPr>
        <w:rPr>
          <w:rFonts w:eastAsia="標楷體"/>
          <w:b/>
          <w:bCs/>
          <w:color w:val="FF0000"/>
          <w:sz w:val="20"/>
          <w:szCs w:val="20"/>
          <w:shd w:val="pct15" w:color="auto" w:fill="FFFFFF"/>
        </w:rPr>
      </w:pPr>
      <w:bookmarkStart w:id="0" w:name="第一頁"/>
      <w:bookmarkEnd w:id="0"/>
      <w:r>
        <w:rPr>
          <w:rFonts w:eastAsia="標楷體"/>
          <w:noProof/>
          <w:color w:val="FF6600"/>
        </w:rPr>
        <w:drawing>
          <wp:anchor distT="0" distB="0" distL="114300" distR="114300" simplePos="0" relativeHeight="25165414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Pr>
          <w:rFonts w:eastAsia="標楷體"/>
          <w:b/>
          <w:bCs/>
          <w:noProof/>
          <w:color w:val="FF6600"/>
          <w:sz w:val="20"/>
          <w:szCs w:val="20"/>
        </w:rPr>
        <w:drawing>
          <wp:anchor distT="0" distB="0" distL="114300" distR="114300" simplePos="0" relativeHeight="251655168"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BC38BA">
        <w:rPr>
          <w:rFonts w:eastAsia="標楷體"/>
          <w:b/>
          <w:bCs/>
          <w:color w:val="FF6600"/>
          <w:sz w:val="20"/>
          <w:szCs w:val="20"/>
        </w:rPr>
        <w:t xml:space="preserve">   </w:t>
      </w:r>
      <w:r w:rsidR="00BF2B97" w:rsidRPr="00BC38BA">
        <w:rPr>
          <w:rFonts w:eastAsia="標楷體"/>
          <w:b/>
          <w:bCs/>
          <w:color w:val="FF0000"/>
          <w:sz w:val="20"/>
          <w:szCs w:val="20"/>
          <w:u w:val="single"/>
          <w:shd w:val="pct15" w:color="auto" w:fill="FFFFFF"/>
        </w:rPr>
        <w:t>認購相關資訊</w:t>
      </w:r>
    </w:p>
    <w:p w:rsidR="00BF2B97" w:rsidRPr="00BC38BA" w:rsidRDefault="007B3716">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5619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BC38BA">
        <w:rPr>
          <w:rFonts w:eastAsia="標楷體"/>
          <w:b/>
          <w:bCs/>
          <w:color w:val="FF6600"/>
          <w:sz w:val="20"/>
          <w:szCs w:val="20"/>
        </w:rPr>
        <w:t xml:space="preserve">   </w:t>
      </w:r>
      <w:hyperlink w:anchor="公司簡介" w:history="1">
        <w:r w:rsidR="00BF2B97" w:rsidRPr="00BC38BA">
          <w:rPr>
            <w:rStyle w:val="a6"/>
            <w:rFonts w:eastAsia="標楷體"/>
            <w:b/>
            <w:bCs/>
            <w:color w:val="FF6600"/>
            <w:sz w:val="20"/>
            <w:szCs w:val="20"/>
          </w:rPr>
          <w:t>公司簡介</w:t>
        </w:r>
      </w:hyperlink>
    </w:p>
    <w:p w:rsidR="00161123" w:rsidRPr="00BC38BA" w:rsidRDefault="007B3716">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BF2B97" w:rsidRPr="00BC38BA">
        <w:rPr>
          <w:rFonts w:eastAsia="標楷體"/>
          <w:b/>
          <w:bCs/>
          <w:color w:val="FF6600"/>
          <w:sz w:val="20"/>
          <w:szCs w:val="20"/>
        </w:rPr>
        <w:t xml:space="preserve">   </w:t>
      </w:r>
      <w:hyperlink w:anchor="主要業務項目" w:history="1">
        <w:r w:rsidR="00161123" w:rsidRPr="00BC38BA">
          <w:rPr>
            <w:rStyle w:val="a6"/>
            <w:rFonts w:eastAsia="標楷體"/>
            <w:b/>
            <w:bCs/>
            <w:color w:val="FF6600"/>
            <w:sz w:val="20"/>
            <w:szCs w:val="20"/>
          </w:rPr>
          <w:t>主要業務項目</w:t>
        </w:r>
      </w:hyperlink>
    </w:p>
    <w:p w:rsidR="00161123" w:rsidRPr="00BC38BA" w:rsidRDefault="007B3716">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BC38BA">
        <w:rPr>
          <w:rFonts w:eastAsia="標楷體"/>
          <w:b/>
          <w:bCs/>
          <w:color w:val="FF6600"/>
          <w:sz w:val="20"/>
          <w:szCs w:val="20"/>
        </w:rPr>
        <w:t xml:space="preserve">   </w:t>
      </w:r>
      <w:hyperlink w:anchor="最近五年度簡明損益表及申請年度截至最近月份止之自結損益表" w:history="1">
        <w:r w:rsidR="00161123" w:rsidRPr="00BC38BA">
          <w:rPr>
            <w:rStyle w:val="a6"/>
            <w:rFonts w:eastAsia="標楷體"/>
            <w:b/>
            <w:bCs/>
            <w:color w:val="FF6600"/>
            <w:sz w:val="20"/>
            <w:szCs w:val="20"/>
          </w:rPr>
          <w:t>最近五年度簡明損益表及申請年度截至最近月份止之自結損益表</w:t>
        </w:r>
      </w:hyperlink>
    </w:p>
    <w:p w:rsidR="00161123" w:rsidRPr="00BC38BA" w:rsidRDefault="007B3716">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BC38BA">
        <w:rPr>
          <w:rFonts w:eastAsia="標楷體"/>
          <w:b/>
          <w:bCs/>
          <w:color w:val="FF6600"/>
          <w:sz w:val="20"/>
          <w:szCs w:val="20"/>
        </w:rPr>
        <w:t xml:space="preserve">   </w:t>
      </w:r>
      <w:hyperlink w:anchor="最近五年度簡明資產負債表" w:history="1">
        <w:r w:rsidR="00161123" w:rsidRPr="00BC38BA">
          <w:rPr>
            <w:rStyle w:val="a6"/>
            <w:rFonts w:eastAsia="標楷體"/>
            <w:b/>
            <w:bCs/>
            <w:color w:val="FF6600"/>
            <w:sz w:val="20"/>
            <w:szCs w:val="20"/>
          </w:rPr>
          <w:t>最近五年度簡明資產負債表</w:t>
        </w:r>
      </w:hyperlink>
    </w:p>
    <w:p w:rsidR="00161123" w:rsidRPr="00BC38BA" w:rsidRDefault="007B3716">
      <w:pPr>
        <w:rPr>
          <w:rFonts w:eastAsia="標楷體"/>
          <w:b/>
          <w:bCs/>
          <w:color w:val="FF6600"/>
          <w:sz w:val="20"/>
        </w:rPr>
      </w:pPr>
      <w:r>
        <w:rPr>
          <w:rFonts w:eastAsia="標楷體"/>
          <w:b/>
          <w:bCs/>
          <w:noProof/>
          <w:color w:val="FF6600"/>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BC38BA">
        <w:rPr>
          <w:rFonts w:eastAsia="標楷體"/>
          <w:b/>
          <w:bCs/>
          <w:color w:val="FF6600"/>
          <w:sz w:val="20"/>
          <w:szCs w:val="20"/>
        </w:rPr>
        <w:t xml:space="preserve">   </w:t>
      </w:r>
      <w:hyperlink w:anchor="最近三年度財務比率及股利發放情形" w:history="1">
        <w:r w:rsidR="00161123" w:rsidRPr="00BC38BA">
          <w:rPr>
            <w:rStyle w:val="a6"/>
            <w:rFonts w:eastAsia="標楷體"/>
            <w:b/>
            <w:bCs/>
            <w:color w:val="FF6600"/>
            <w:sz w:val="20"/>
            <w:szCs w:val="20"/>
          </w:rPr>
          <w:t>最近三年度財務比率</w:t>
        </w:r>
      </w:hyperlink>
    </w:p>
    <w:p w:rsidR="00161123" w:rsidRPr="00BC38BA" w:rsidRDefault="00161123">
      <w:pPr>
        <w:rPr>
          <w:rFonts w:eastAsia="標楷體"/>
          <w:b/>
          <w:bCs/>
          <w:sz w:val="20"/>
        </w:rPr>
      </w:pPr>
    </w:p>
    <w:p w:rsidR="00161123" w:rsidRPr="00BC38BA" w:rsidRDefault="00161123">
      <w:pPr>
        <w:rPr>
          <w:rFonts w:eastAsia="標楷體"/>
          <w:b/>
          <w:bCs/>
          <w:sz w:val="20"/>
        </w:rPr>
      </w:pPr>
      <w:r w:rsidRPr="00BC38BA">
        <w:rPr>
          <w:rFonts w:eastAsia="標楷體"/>
          <w:b/>
          <w:bCs/>
          <w:sz w:val="20"/>
        </w:rPr>
        <w:t>公司名稱：</w:t>
      </w:r>
      <w:r w:rsidR="00B43FA9">
        <w:rPr>
          <w:rFonts w:eastAsia="標楷體" w:hint="eastAsia"/>
          <w:b/>
          <w:bCs/>
          <w:color w:val="FF6600"/>
          <w:sz w:val="20"/>
        </w:rPr>
        <w:t>台興電子企業</w:t>
      </w:r>
      <w:r w:rsidRPr="00BC38BA">
        <w:rPr>
          <w:rFonts w:eastAsia="標楷體"/>
          <w:b/>
          <w:bCs/>
          <w:color w:val="FF6600"/>
          <w:sz w:val="20"/>
        </w:rPr>
        <w:t>股份有限公司</w:t>
      </w:r>
      <w:r w:rsidRPr="00BC38BA">
        <w:rPr>
          <w:rFonts w:eastAsia="標楷體"/>
          <w:b/>
          <w:bCs/>
          <w:sz w:val="20"/>
        </w:rPr>
        <w:t xml:space="preserve"> (</w:t>
      </w:r>
      <w:r w:rsidRPr="00BC38BA">
        <w:rPr>
          <w:rFonts w:eastAsia="標楷體"/>
          <w:b/>
          <w:bCs/>
          <w:sz w:val="20"/>
        </w:rPr>
        <w:t>股票代號：</w:t>
      </w:r>
      <w:r w:rsidR="00B43FA9">
        <w:rPr>
          <w:rFonts w:eastAsia="標楷體" w:hint="eastAsia"/>
          <w:b/>
          <w:bCs/>
          <w:sz w:val="20"/>
        </w:rPr>
        <w:t>34</w:t>
      </w:r>
      <w:r w:rsidR="002708D6" w:rsidRPr="00BC38BA">
        <w:rPr>
          <w:rFonts w:eastAsia="標楷體"/>
          <w:b/>
          <w:bCs/>
          <w:sz w:val="20"/>
        </w:rPr>
        <w:t>26</w:t>
      </w:r>
      <w:r w:rsidRPr="00BC38BA">
        <w:rPr>
          <w:rFonts w:eastAsia="標楷體"/>
          <w:b/>
          <w:bCs/>
          <w:sz w:val="20"/>
        </w:rPr>
        <w:t>)</w:t>
      </w:r>
    </w:p>
    <w:p w:rsidR="00161123" w:rsidRDefault="00161123">
      <w:pPr>
        <w:jc w:val="both"/>
        <w:rPr>
          <w:rFonts w:ascii="新細明體" w:hAnsi="新細明體"/>
        </w:rPr>
      </w:pPr>
      <w:bookmarkStart w:id="1" w:name="基本資料"/>
      <w:bookmarkEnd w:id="1"/>
      <w:r>
        <w:rPr>
          <w:rFonts w:ascii="新細明體" w:hAnsi="新細明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2"/>
        <w:gridCol w:w="6945"/>
      </w:tblGrid>
      <w:tr w:rsidR="00BC38BA" w:rsidRPr="00BC38BA" w:rsidTr="00F419F4">
        <w:trPr>
          <w:cantSplit/>
        </w:trPr>
        <w:tc>
          <w:tcPr>
            <w:tcW w:w="2722" w:type="dxa"/>
            <w:shd w:val="clear" w:color="auto" w:fill="F9F9F9"/>
          </w:tcPr>
          <w:p w:rsidR="00161123" w:rsidRPr="00BC38BA" w:rsidRDefault="00161123">
            <w:pPr>
              <w:rPr>
                <w:rFonts w:eastAsia="標楷體"/>
              </w:rPr>
            </w:pPr>
            <w:r w:rsidRPr="00BC38BA">
              <w:rPr>
                <w:rFonts w:eastAsia="標楷體"/>
              </w:rPr>
              <w:t>輔導推薦證券商</w:t>
            </w:r>
          </w:p>
        </w:tc>
        <w:tc>
          <w:tcPr>
            <w:tcW w:w="6945" w:type="dxa"/>
          </w:tcPr>
          <w:p w:rsidR="00161123" w:rsidRPr="00BC38BA" w:rsidRDefault="0034043B" w:rsidP="00B43FA9">
            <w:pPr>
              <w:rPr>
                <w:rFonts w:eastAsia="標楷體"/>
              </w:rPr>
            </w:pPr>
            <w:r>
              <w:rPr>
                <w:rFonts w:eastAsia="標楷體"/>
              </w:rPr>
              <w:t>元大</w:t>
            </w:r>
            <w:r w:rsidR="002708D6" w:rsidRPr="00BC38BA">
              <w:rPr>
                <w:rFonts w:eastAsia="標楷體"/>
              </w:rPr>
              <w:t>證券股份有限公司</w:t>
            </w:r>
            <w:r w:rsidR="00116821" w:rsidRPr="00BC38BA">
              <w:rPr>
                <w:rFonts w:eastAsia="標楷體"/>
              </w:rPr>
              <w:t>、</w:t>
            </w:r>
            <w:r w:rsidR="00B43FA9">
              <w:rPr>
                <w:rFonts w:eastAsia="標楷體" w:hint="eastAsia"/>
                <w:kern w:val="0"/>
              </w:rPr>
              <w:t>富邦</w:t>
            </w:r>
            <w:r w:rsidR="00116821" w:rsidRPr="00BC38BA">
              <w:rPr>
                <w:rFonts w:eastAsia="標楷體"/>
                <w:kern w:val="0"/>
              </w:rPr>
              <w:t>綜合證券</w:t>
            </w:r>
            <w:r w:rsidR="00116821" w:rsidRPr="00BC38BA">
              <w:rPr>
                <w:rFonts w:eastAsia="標楷體"/>
              </w:rPr>
              <w:t>股份有限公司</w:t>
            </w:r>
          </w:p>
        </w:tc>
      </w:tr>
      <w:tr w:rsidR="00BC38BA" w:rsidRPr="00BC38BA" w:rsidTr="00F419F4">
        <w:trPr>
          <w:cantSplit/>
        </w:trPr>
        <w:tc>
          <w:tcPr>
            <w:tcW w:w="2722" w:type="dxa"/>
            <w:shd w:val="clear" w:color="auto" w:fill="F9F9F9"/>
          </w:tcPr>
          <w:p w:rsidR="00FD1CF9" w:rsidRPr="00BC38BA" w:rsidRDefault="00FD1CF9" w:rsidP="00385C47">
            <w:pPr>
              <w:rPr>
                <w:rFonts w:eastAsia="標楷體"/>
              </w:rPr>
            </w:pPr>
            <w:r w:rsidRPr="00BC38BA">
              <w:rPr>
                <w:rFonts w:eastAsia="標楷體"/>
              </w:rPr>
              <w:t>主辦輔導券商聯絡</w:t>
            </w:r>
            <w:r w:rsidR="00553CD3" w:rsidRPr="00BC38BA">
              <w:rPr>
                <w:rFonts w:eastAsia="標楷體"/>
              </w:rPr>
              <w:t>人</w:t>
            </w:r>
            <w:r w:rsidRPr="00BC38BA">
              <w:rPr>
                <w:rFonts w:eastAsia="標楷體"/>
              </w:rPr>
              <w:t>電話</w:t>
            </w:r>
          </w:p>
        </w:tc>
        <w:tc>
          <w:tcPr>
            <w:tcW w:w="6945" w:type="dxa"/>
          </w:tcPr>
          <w:p w:rsidR="00FD1CF9" w:rsidRPr="00BC38BA" w:rsidRDefault="00820D20">
            <w:pPr>
              <w:rPr>
                <w:rFonts w:eastAsia="標楷體"/>
              </w:rPr>
            </w:pPr>
            <w:r>
              <w:rPr>
                <w:rFonts w:eastAsia="標楷體" w:hint="eastAsia"/>
              </w:rPr>
              <w:t>黃韻如</w:t>
            </w:r>
            <w:r>
              <w:rPr>
                <w:rFonts w:eastAsia="標楷體"/>
              </w:rPr>
              <w:t xml:space="preserve"> 02-2718-1234#6</w:t>
            </w:r>
            <w:r>
              <w:rPr>
                <w:rFonts w:eastAsia="標楷體" w:hint="eastAsia"/>
              </w:rPr>
              <w:t>722</w:t>
            </w:r>
          </w:p>
        </w:tc>
      </w:tr>
      <w:tr w:rsidR="00BC38BA" w:rsidRPr="00BC38BA" w:rsidTr="00F419F4">
        <w:trPr>
          <w:cantSplit/>
        </w:trPr>
        <w:tc>
          <w:tcPr>
            <w:tcW w:w="2722" w:type="dxa"/>
            <w:shd w:val="clear" w:color="auto" w:fill="F9F9F9"/>
          </w:tcPr>
          <w:p w:rsidR="00161123" w:rsidRPr="00BC38BA" w:rsidRDefault="00161123">
            <w:pPr>
              <w:rPr>
                <w:rFonts w:eastAsia="標楷體"/>
              </w:rPr>
            </w:pPr>
            <w:r w:rsidRPr="00BC38BA">
              <w:rPr>
                <w:rFonts w:eastAsia="標楷體"/>
              </w:rPr>
              <w:t>註冊地國</w:t>
            </w:r>
          </w:p>
        </w:tc>
        <w:tc>
          <w:tcPr>
            <w:tcW w:w="6945" w:type="dxa"/>
          </w:tcPr>
          <w:p w:rsidR="00161123" w:rsidRPr="00BC38BA" w:rsidRDefault="00161123">
            <w:pPr>
              <w:rPr>
                <w:rFonts w:eastAsia="標楷體"/>
              </w:rPr>
            </w:pPr>
            <w:r w:rsidRPr="00BC38BA">
              <w:rPr>
                <w:rFonts w:eastAsia="標楷體"/>
              </w:rPr>
              <w:t>(</w:t>
            </w:r>
            <w:r w:rsidRPr="00BC38BA">
              <w:rPr>
                <w:rFonts w:eastAsia="標楷體"/>
              </w:rPr>
              <w:t>外國發行人適用</w:t>
            </w:r>
            <w:r w:rsidRPr="00BC38BA">
              <w:rPr>
                <w:rFonts w:eastAsia="標楷體"/>
              </w:rPr>
              <w:t>)</w:t>
            </w:r>
          </w:p>
        </w:tc>
      </w:tr>
      <w:tr w:rsidR="00BC38BA" w:rsidRPr="00BC38BA" w:rsidTr="00F419F4">
        <w:trPr>
          <w:cantSplit/>
        </w:trPr>
        <w:tc>
          <w:tcPr>
            <w:tcW w:w="2722" w:type="dxa"/>
            <w:shd w:val="clear" w:color="auto" w:fill="F9F9F9"/>
          </w:tcPr>
          <w:p w:rsidR="00161123" w:rsidRPr="00BC38BA" w:rsidRDefault="00161123">
            <w:pPr>
              <w:rPr>
                <w:rFonts w:eastAsia="標楷體"/>
              </w:rPr>
            </w:pPr>
            <w:r w:rsidRPr="00BC38BA">
              <w:rPr>
                <w:rFonts w:eastAsia="標楷體"/>
              </w:rPr>
              <w:t>訴訟及非訟代理人</w:t>
            </w:r>
          </w:p>
        </w:tc>
        <w:tc>
          <w:tcPr>
            <w:tcW w:w="6945" w:type="dxa"/>
          </w:tcPr>
          <w:p w:rsidR="00161123" w:rsidRPr="00BC38BA" w:rsidRDefault="00161123">
            <w:pPr>
              <w:rPr>
                <w:rFonts w:eastAsia="標楷體"/>
              </w:rPr>
            </w:pPr>
            <w:r w:rsidRPr="00BC38BA">
              <w:rPr>
                <w:rFonts w:eastAsia="標楷體"/>
              </w:rPr>
              <w:t>(</w:t>
            </w:r>
            <w:r w:rsidRPr="00BC38BA">
              <w:rPr>
                <w:rFonts w:eastAsia="標楷體"/>
              </w:rPr>
              <w:t>外國發行人適用</w:t>
            </w:r>
            <w:r w:rsidRPr="00BC38BA">
              <w:rPr>
                <w:rFonts w:eastAsia="標楷體"/>
              </w:rPr>
              <w:t>)</w:t>
            </w:r>
          </w:p>
        </w:tc>
      </w:tr>
    </w:tbl>
    <w:p w:rsidR="00161123" w:rsidRPr="00BC38BA" w:rsidRDefault="00161123">
      <w:pPr>
        <w:jc w:val="both"/>
        <w:rPr>
          <w:rFonts w:eastAsia="標楷體"/>
        </w:rPr>
      </w:pPr>
      <w:r w:rsidRPr="00BC38BA">
        <w:rPr>
          <w:rFonts w:eastAsia="標楷體"/>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3707"/>
        <w:gridCol w:w="3616"/>
        <w:gridCol w:w="61"/>
      </w:tblGrid>
      <w:tr w:rsidR="00BC38BA" w:rsidRPr="00BC38BA" w:rsidTr="0005586B">
        <w:tc>
          <w:tcPr>
            <w:tcW w:w="5000" w:type="pct"/>
            <w:gridSpan w:val="4"/>
            <w:shd w:val="clear" w:color="auto" w:fill="auto"/>
          </w:tcPr>
          <w:p w:rsidR="00B04F87" w:rsidRPr="00BC38BA" w:rsidRDefault="00B04F87" w:rsidP="00781742">
            <w:pPr>
              <w:jc w:val="center"/>
              <w:rPr>
                <w:rFonts w:eastAsia="標楷體"/>
              </w:rPr>
            </w:pPr>
            <w:r w:rsidRPr="00BC38BA">
              <w:rPr>
                <w:rFonts w:eastAsia="標楷體"/>
              </w:rPr>
              <w:t>輔導推薦證券商認購</w:t>
            </w:r>
            <w:r w:rsidR="00781742">
              <w:rPr>
                <w:rFonts w:eastAsia="標楷體" w:hint="eastAsia"/>
              </w:rPr>
              <w:t>台興電子企業</w:t>
            </w:r>
            <w:r w:rsidRPr="00BC38BA">
              <w:rPr>
                <w:rFonts w:eastAsia="標楷體"/>
              </w:rPr>
              <w:t>股份有限公司股票之相關資訊</w:t>
            </w:r>
          </w:p>
        </w:tc>
      </w:tr>
      <w:tr w:rsidR="00BC38BA" w:rsidRPr="00BC38BA" w:rsidTr="0005586B">
        <w:tc>
          <w:tcPr>
            <w:tcW w:w="1253" w:type="pct"/>
            <w:vMerge w:val="restart"/>
            <w:shd w:val="clear" w:color="auto" w:fill="auto"/>
            <w:vAlign w:val="center"/>
          </w:tcPr>
          <w:p w:rsidR="00B04F87" w:rsidRPr="00BC38BA" w:rsidRDefault="00B04F87" w:rsidP="00D00024">
            <w:pPr>
              <w:jc w:val="center"/>
              <w:rPr>
                <w:rFonts w:eastAsia="標楷體"/>
              </w:rPr>
            </w:pPr>
            <w:r w:rsidRPr="00BC38BA">
              <w:rPr>
                <w:rFonts w:eastAsia="標楷體"/>
              </w:rPr>
              <w:t>證券商名稱</w:t>
            </w:r>
          </w:p>
        </w:tc>
        <w:tc>
          <w:tcPr>
            <w:tcW w:w="1881" w:type="pct"/>
            <w:shd w:val="clear" w:color="auto" w:fill="auto"/>
          </w:tcPr>
          <w:p w:rsidR="00B04F87" w:rsidRPr="00BC38BA" w:rsidRDefault="00B04F87" w:rsidP="00F23D95">
            <w:pPr>
              <w:jc w:val="center"/>
              <w:rPr>
                <w:rFonts w:eastAsia="標楷體"/>
              </w:rPr>
            </w:pPr>
            <w:r w:rsidRPr="00BC38BA">
              <w:rPr>
                <w:rFonts w:eastAsia="標楷體"/>
              </w:rPr>
              <w:t>主辦</w:t>
            </w:r>
          </w:p>
        </w:tc>
        <w:tc>
          <w:tcPr>
            <w:tcW w:w="1866" w:type="pct"/>
            <w:gridSpan w:val="2"/>
            <w:shd w:val="clear" w:color="auto" w:fill="auto"/>
          </w:tcPr>
          <w:p w:rsidR="00B04F87" w:rsidRPr="00BC38BA" w:rsidRDefault="00B04F87" w:rsidP="00F23D95">
            <w:pPr>
              <w:jc w:val="center"/>
              <w:rPr>
                <w:rFonts w:eastAsia="標楷體"/>
              </w:rPr>
            </w:pPr>
            <w:r w:rsidRPr="00BC38BA">
              <w:rPr>
                <w:rFonts w:eastAsia="標楷體"/>
              </w:rPr>
              <w:t>協辦</w:t>
            </w:r>
          </w:p>
        </w:tc>
      </w:tr>
      <w:tr w:rsidR="00BC38BA" w:rsidRPr="00BC38BA" w:rsidTr="0005586B">
        <w:tc>
          <w:tcPr>
            <w:tcW w:w="1253" w:type="pct"/>
            <w:vMerge/>
            <w:shd w:val="clear" w:color="auto" w:fill="auto"/>
          </w:tcPr>
          <w:p w:rsidR="00B04F87" w:rsidRPr="00BC38BA" w:rsidRDefault="00B04F87" w:rsidP="00F23D95">
            <w:pPr>
              <w:jc w:val="center"/>
              <w:rPr>
                <w:rFonts w:eastAsia="標楷體"/>
              </w:rPr>
            </w:pPr>
          </w:p>
        </w:tc>
        <w:tc>
          <w:tcPr>
            <w:tcW w:w="1881" w:type="pct"/>
            <w:shd w:val="clear" w:color="auto" w:fill="auto"/>
          </w:tcPr>
          <w:p w:rsidR="00B04F87" w:rsidRPr="00BC38BA" w:rsidRDefault="008A680F" w:rsidP="00EE4C00">
            <w:pPr>
              <w:jc w:val="center"/>
              <w:rPr>
                <w:rFonts w:eastAsia="標楷體"/>
              </w:rPr>
            </w:pPr>
            <w:r>
              <w:rPr>
                <w:rFonts w:eastAsia="標楷體"/>
              </w:rPr>
              <w:t>元大</w:t>
            </w:r>
            <w:r w:rsidR="00B04F87" w:rsidRPr="00BC38BA">
              <w:rPr>
                <w:rFonts w:eastAsia="標楷體"/>
              </w:rPr>
              <w:t>證券</w:t>
            </w:r>
          </w:p>
        </w:tc>
        <w:tc>
          <w:tcPr>
            <w:tcW w:w="1866" w:type="pct"/>
            <w:gridSpan w:val="2"/>
            <w:shd w:val="clear" w:color="auto" w:fill="auto"/>
          </w:tcPr>
          <w:p w:rsidR="00B04F87" w:rsidRPr="00BC38BA" w:rsidRDefault="00904454" w:rsidP="00EE4C00">
            <w:pPr>
              <w:jc w:val="center"/>
              <w:rPr>
                <w:rFonts w:eastAsia="標楷體"/>
              </w:rPr>
            </w:pPr>
            <w:r>
              <w:rPr>
                <w:rFonts w:eastAsia="標楷體" w:hint="eastAsia"/>
              </w:rPr>
              <w:t>富邦</w:t>
            </w:r>
            <w:r w:rsidR="00B04F87" w:rsidRPr="00BC38BA">
              <w:rPr>
                <w:rFonts w:eastAsia="標楷體"/>
              </w:rPr>
              <w:t>綜合證券</w:t>
            </w:r>
          </w:p>
        </w:tc>
      </w:tr>
      <w:tr w:rsidR="00BC38BA" w:rsidRPr="00BC38BA" w:rsidTr="0005586B">
        <w:tc>
          <w:tcPr>
            <w:tcW w:w="1253" w:type="pct"/>
            <w:shd w:val="clear" w:color="auto" w:fill="auto"/>
          </w:tcPr>
          <w:p w:rsidR="00B04F87" w:rsidRPr="007B3716" w:rsidRDefault="00B04F87" w:rsidP="00F23D95">
            <w:pPr>
              <w:jc w:val="center"/>
              <w:rPr>
                <w:rFonts w:eastAsia="標楷體"/>
              </w:rPr>
            </w:pPr>
            <w:r w:rsidRPr="007B3716">
              <w:rPr>
                <w:rFonts w:eastAsia="標楷體"/>
              </w:rPr>
              <w:t>認購日期</w:t>
            </w:r>
          </w:p>
        </w:tc>
        <w:tc>
          <w:tcPr>
            <w:tcW w:w="3747" w:type="pct"/>
            <w:gridSpan w:val="3"/>
            <w:shd w:val="clear" w:color="auto" w:fill="auto"/>
            <w:vAlign w:val="center"/>
          </w:tcPr>
          <w:p w:rsidR="00B04F87" w:rsidRPr="00BC38BA" w:rsidRDefault="00537AD0" w:rsidP="00B43FA9">
            <w:pPr>
              <w:jc w:val="center"/>
              <w:rPr>
                <w:rFonts w:eastAsia="標楷體"/>
              </w:rPr>
            </w:pPr>
            <w:r w:rsidRPr="00373C04">
              <w:rPr>
                <w:rFonts w:eastAsia="標楷體" w:hint="eastAsia"/>
              </w:rPr>
              <w:t>104</w:t>
            </w:r>
            <w:r w:rsidRPr="00373C04">
              <w:rPr>
                <w:rFonts w:eastAsia="標楷體" w:hint="eastAsia"/>
              </w:rPr>
              <w:t>年</w:t>
            </w:r>
            <w:r w:rsidR="00B43FA9" w:rsidRPr="00373C04">
              <w:rPr>
                <w:rFonts w:eastAsia="標楷體" w:hint="eastAsia"/>
              </w:rPr>
              <w:t>8</w:t>
            </w:r>
            <w:r w:rsidRPr="00373C04">
              <w:rPr>
                <w:rFonts w:eastAsia="標楷體" w:hint="eastAsia"/>
              </w:rPr>
              <w:t>月</w:t>
            </w:r>
            <w:r w:rsidR="00373C04" w:rsidRPr="00373C04">
              <w:rPr>
                <w:rFonts w:eastAsia="標楷體" w:hint="eastAsia"/>
              </w:rPr>
              <w:t>21</w:t>
            </w:r>
            <w:r w:rsidRPr="00373C04">
              <w:rPr>
                <w:rFonts w:eastAsia="標楷體" w:hint="eastAsia"/>
              </w:rPr>
              <w:t>日</w:t>
            </w:r>
          </w:p>
        </w:tc>
      </w:tr>
      <w:tr w:rsidR="00BC38BA" w:rsidRPr="00BC38BA" w:rsidTr="0005586B">
        <w:tc>
          <w:tcPr>
            <w:tcW w:w="1253" w:type="pct"/>
            <w:shd w:val="clear" w:color="auto" w:fill="auto"/>
          </w:tcPr>
          <w:p w:rsidR="00B04F87" w:rsidRPr="007B3716" w:rsidRDefault="00B04F87" w:rsidP="00F23D95">
            <w:pPr>
              <w:jc w:val="center"/>
              <w:rPr>
                <w:rFonts w:eastAsia="標楷體"/>
              </w:rPr>
            </w:pPr>
            <w:r w:rsidRPr="007B3716">
              <w:rPr>
                <w:rFonts w:eastAsia="標楷體"/>
              </w:rPr>
              <w:t>認購股數（股）</w:t>
            </w:r>
          </w:p>
        </w:tc>
        <w:tc>
          <w:tcPr>
            <w:tcW w:w="1881" w:type="pct"/>
            <w:shd w:val="clear" w:color="auto" w:fill="auto"/>
            <w:vAlign w:val="center"/>
          </w:tcPr>
          <w:p w:rsidR="00B04F87" w:rsidRPr="00BC38BA" w:rsidRDefault="00B43FA9" w:rsidP="00537AD0">
            <w:pPr>
              <w:jc w:val="center"/>
              <w:rPr>
                <w:rFonts w:eastAsia="標楷體"/>
              </w:rPr>
            </w:pPr>
            <w:r>
              <w:rPr>
                <w:rFonts w:eastAsia="標楷體" w:hint="eastAsia"/>
              </w:rPr>
              <w:t>6</w:t>
            </w:r>
            <w:r w:rsidR="00174AB2">
              <w:rPr>
                <w:rFonts w:eastAsia="標楷體" w:hint="eastAsia"/>
              </w:rPr>
              <w:t>00,000</w:t>
            </w:r>
          </w:p>
        </w:tc>
        <w:tc>
          <w:tcPr>
            <w:tcW w:w="1866" w:type="pct"/>
            <w:gridSpan w:val="2"/>
            <w:shd w:val="clear" w:color="auto" w:fill="auto"/>
            <w:vAlign w:val="center"/>
          </w:tcPr>
          <w:p w:rsidR="00B04F87" w:rsidRPr="00BC38BA" w:rsidRDefault="00B43FA9" w:rsidP="00537AD0">
            <w:pPr>
              <w:jc w:val="center"/>
              <w:rPr>
                <w:rFonts w:eastAsia="標楷體"/>
              </w:rPr>
            </w:pPr>
            <w:r>
              <w:rPr>
                <w:rFonts w:eastAsia="標楷體" w:hint="eastAsia"/>
              </w:rPr>
              <w:t>100</w:t>
            </w:r>
            <w:r w:rsidR="00174AB2">
              <w:rPr>
                <w:rFonts w:eastAsia="標楷體" w:hint="eastAsia"/>
              </w:rPr>
              <w:t>,000</w:t>
            </w:r>
          </w:p>
        </w:tc>
      </w:tr>
      <w:tr w:rsidR="00BC38BA" w:rsidRPr="00BC38BA" w:rsidTr="0005586B">
        <w:tc>
          <w:tcPr>
            <w:tcW w:w="1253" w:type="pct"/>
            <w:shd w:val="clear" w:color="auto" w:fill="auto"/>
          </w:tcPr>
          <w:p w:rsidR="00B04F87" w:rsidRPr="007B3716" w:rsidRDefault="00B04F87" w:rsidP="00F23D95">
            <w:pPr>
              <w:jc w:val="center"/>
              <w:rPr>
                <w:rFonts w:eastAsia="標楷體"/>
              </w:rPr>
            </w:pPr>
            <w:r w:rsidRPr="007B3716">
              <w:rPr>
                <w:rFonts w:eastAsia="標楷體"/>
              </w:rPr>
              <w:t>認購占擬櫃檯買賣股份總數之比率</w:t>
            </w:r>
          </w:p>
        </w:tc>
        <w:tc>
          <w:tcPr>
            <w:tcW w:w="1881" w:type="pct"/>
            <w:shd w:val="clear" w:color="auto" w:fill="auto"/>
            <w:vAlign w:val="center"/>
          </w:tcPr>
          <w:p w:rsidR="00B04F87" w:rsidRPr="00BC38BA" w:rsidRDefault="009D44F9" w:rsidP="00537AD0">
            <w:pPr>
              <w:jc w:val="center"/>
              <w:rPr>
                <w:rFonts w:eastAsia="標楷體"/>
              </w:rPr>
            </w:pPr>
            <w:r>
              <w:rPr>
                <w:rFonts w:eastAsia="標楷體" w:hint="eastAsia"/>
              </w:rPr>
              <w:t>3.00</w:t>
            </w:r>
            <w:r w:rsidR="00537AD0">
              <w:rPr>
                <w:rFonts w:eastAsia="標楷體" w:hint="eastAsia"/>
              </w:rPr>
              <w:t>%</w:t>
            </w:r>
          </w:p>
        </w:tc>
        <w:tc>
          <w:tcPr>
            <w:tcW w:w="1866" w:type="pct"/>
            <w:gridSpan w:val="2"/>
            <w:shd w:val="clear" w:color="auto" w:fill="auto"/>
            <w:vAlign w:val="center"/>
          </w:tcPr>
          <w:p w:rsidR="00B04F87" w:rsidRPr="00BC38BA" w:rsidRDefault="009D44F9" w:rsidP="00537AD0">
            <w:pPr>
              <w:jc w:val="center"/>
              <w:rPr>
                <w:rFonts w:eastAsia="標楷體"/>
              </w:rPr>
            </w:pPr>
            <w:r>
              <w:rPr>
                <w:rFonts w:eastAsia="標楷體" w:hint="eastAsia"/>
              </w:rPr>
              <w:t>0.50</w:t>
            </w:r>
            <w:r w:rsidR="00537AD0">
              <w:rPr>
                <w:rFonts w:eastAsia="標楷體" w:hint="eastAsia"/>
              </w:rPr>
              <w:t>%</w:t>
            </w:r>
          </w:p>
        </w:tc>
      </w:tr>
      <w:tr w:rsidR="00BC38BA" w:rsidRPr="00BC38BA" w:rsidTr="0005586B">
        <w:tc>
          <w:tcPr>
            <w:tcW w:w="1253" w:type="pct"/>
            <w:shd w:val="clear" w:color="auto" w:fill="auto"/>
          </w:tcPr>
          <w:p w:rsidR="00B04F87" w:rsidRPr="007B3716" w:rsidRDefault="00B04F87" w:rsidP="00F23D95">
            <w:pPr>
              <w:jc w:val="center"/>
              <w:rPr>
                <w:rFonts w:eastAsia="標楷體"/>
              </w:rPr>
            </w:pPr>
            <w:r w:rsidRPr="007B3716">
              <w:rPr>
                <w:rFonts w:eastAsia="標楷體"/>
              </w:rPr>
              <w:t>認購價格</w:t>
            </w:r>
          </w:p>
        </w:tc>
        <w:tc>
          <w:tcPr>
            <w:tcW w:w="3747" w:type="pct"/>
            <w:gridSpan w:val="3"/>
            <w:shd w:val="clear" w:color="auto" w:fill="auto"/>
            <w:vAlign w:val="center"/>
          </w:tcPr>
          <w:p w:rsidR="00B04F87" w:rsidRPr="00BC38BA" w:rsidRDefault="00B43FA9" w:rsidP="00537AD0">
            <w:pPr>
              <w:jc w:val="center"/>
              <w:rPr>
                <w:rFonts w:eastAsia="標楷體"/>
              </w:rPr>
            </w:pPr>
            <w:r>
              <w:rPr>
                <w:rFonts w:eastAsia="標楷體" w:hint="eastAsia"/>
              </w:rPr>
              <w:t>36</w:t>
            </w:r>
            <w:r w:rsidR="00537AD0">
              <w:rPr>
                <w:rFonts w:eastAsia="標楷體" w:hint="eastAsia"/>
              </w:rPr>
              <w:t>元</w:t>
            </w:r>
            <w:r w:rsidR="00537AD0">
              <w:rPr>
                <w:rFonts w:eastAsia="標楷體" w:hint="eastAsia"/>
              </w:rPr>
              <w:t>/</w:t>
            </w:r>
            <w:r w:rsidR="00537AD0">
              <w:rPr>
                <w:rFonts w:eastAsia="標楷體" w:hint="eastAsia"/>
              </w:rPr>
              <w:t>股</w:t>
            </w:r>
          </w:p>
        </w:tc>
      </w:tr>
      <w:tr w:rsidR="00BC38BA" w:rsidRPr="00BC38BA" w:rsidTr="0005586B">
        <w:tc>
          <w:tcPr>
            <w:tcW w:w="1253" w:type="pct"/>
            <w:shd w:val="clear" w:color="auto" w:fill="auto"/>
            <w:vAlign w:val="center"/>
          </w:tcPr>
          <w:p w:rsidR="00B04F87" w:rsidRPr="00400DB7" w:rsidRDefault="00B04F87" w:rsidP="00F23D95">
            <w:pPr>
              <w:jc w:val="center"/>
              <w:rPr>
                <w:rFonts w:eastAsia="標楷體"/>
              </w:rPr>
            </w:pPr>
            <w:r w:rsidRPr="00400DB7">
              <w:rPr>
                <w:rFonts w:eastAsia="標楷體"/>
              </w:rPr>
              <w:t>認購價格之訂定</w:t>
            </w:r>
          </w:p>
          <w:p w:rsidR="00B04F87" w:rsidRPr="00BC38BA" w:rsidRDefault="00B04F87" w:rsidP="00F23D95">
            <w:pPr>
              <w:jc w:val="center"/>
              <w:rPr>
                <w:rFonts w:eastAsia="標楷體"/>
                <w:highlight w:val="cyan"/>
              </w:rPr>
            </w:pPr>
            <w:r w:rsidRPr="00400DB7">
              <w:rPr>
                <w:rFonts w:eastAsia="標楷體"/>
              </w:rPr>
              <w:t>依據及方式</w:t>
            </w:r>
          </w:p>
        </w:tc>
        <w:tc>
          <w:tcPr>
            <w:tcW w:w="3747" w:type="pct"/>
            <w:gridSpan w:val="3"/>
            <w:shd w:val="clear" w:color="auto" w:fill="auto"/>
            <w:vAlign w:val="center"/>
          </w:tcPr>
          <w:p w:rsidR="00F419F4" w:rsidRDefault="00B43FA9" w:rsidP="00F419F4">
            <w:pPr>
              <w:pStyle w:val="af1"/>
              <w:spacing w:before="180" w:after="180" w:line="360" w:lineRule="exact"/>
              <w:ind w:leftChars="-45" w:left="-108" w:firstLineChars="196" w:firstLine="470"/>
              <w:rPr>
                <w:rStyle w:val="HTML0"/>
                <w:rFonts w:hAnsi="標楷體"/>
                <w:kern w:val="0"/>
              </w:rPr>
            </w:pPr>
            <w:r>
              <w:rPr>
                <w:rFonts w:hint="eastAsia"/>
                <w:lang w:val="zh-TW"/>
              </w:rPr>
              <w:t>台興電子企業股份有限公司</w:t>
            </w:r>
            <w:r>
              <w:rPr>
                <w:rFonts w:hint="eastAsia"/>
                <w:lang w:val="zh-TW"/>
              </w:rPr>
              <w:t>(</w:t>
            </w:r>
            <w:r>
              <w:rPr>
                <w:rFonts w:hint="eastAsia"/>
                <w:lang w:val="zh-TW"/>
              </w:rPr>
              <w:t>以下簡稱台興</w:t>
            </w:r>
            <w:r w:rsidR="00592C0F">
              <w:rPr>
                <w:rFonts w:hint="eastAsia"/>
                <w:lang w:val="zh-TW"/>
              </w:rPr>
              <w:t>公司或本公司</w:t>
            </w:r>
            <w:r>
              <w:rPr>
                <w:rFonts w:hint="eastAsia"/>
                <w:lang w:val="zh-TW"/>
              </w:rPr>
              <w:t>)</w:t>
            </w:r>
            <w:r w:rsidRPr="00B43FA9">
              <w:rPr>
                <w:rFonts w:hint="eastAsia"/>
                <w:lang w:val="zh-TW"/>
              </w:rPr>
              <w:t>主要從事電磁鐵、電磁閥、繼電器之製造及銷售、石英晶體銷售等業務，產品主要應用在工業機械、交通運輸、網通家電、智慧電表、</w:t>
            </w:r>
            <w:r w:rsidRPr="00B43FA9">
              <w:rPr>
                <w:rFonts w:hint="eastAsia"/>
                <w:lang w:val="zh-TW"/>
              </w:rPr>
              <w:t>KIOSK</w:t>
            </w:r>
            <w:r w:rsidRPr="00B43FA9">
              <w:rPr>
                <w:rFonts w:hint="eastAsia"/>
                <w:lang w:val="zh-TW"/>
              </w:rPr>
              <w:t>、水資源、工業設備領域等產業。</w:t>
            </w:r>
          </w:p>
          <w:p w:rsidR="00F419F4" w:rsidRPr="003F699A" w:rsidRDefault="00F419F4" w:rsidP="00F419F4">
            <w:pPr>
              <w:pStyle w:val="af1"/>
              <w:spacing w:before="180" w:after="180" w:line="360" w:lineRule="exact"/>
              <w:ind w:leftChars="-45" w:left="-108" w:firstLineChars="196" w:firstLine="470"/>
            </w:pPr>
            <w:r>
              <w:rPr>
                <w:rFonts w:hAnsi="標楷體" w:hint="eastAsia"/>
                <w:kern w:val="0"/>
              </w:rPr>
              <w:t>股票價值評估方法有很多種，各種方法皆有其優缺點，評估之結果亦有所差異</w:t>
            </w:r>
            <w:r>
              <w:rPr>
                <w:rFonts w:ascii="標楷體" w:hAnsi="標楷體" w:hint="eastAsia"/>
                <w:kern w:val="0"/>
              </w:rPr>
              <w:t>，</w:t>
            </w:r>
            <w:r>
              <w:rPr>
                <w:rFonts w:hint="eastAsia"/>
              </w:rPr>
              <w:t>市場基礎法為透過已公開的資訊，與整體市場、產業性質相近的同業及被評價公司歷史軌跡比較，作為評量企業的價值，再根據被評價公司本身異於採樣公司之部分作折溢價之調整；成本法</w:t>
            </w:r>
            <w:r>
              <w:rPr>
                <w:rFonts w:hint="eastAsia"/>
              </w:rPr>
              <w:lastRenderedPageBreak/>
              <w:t>係以帳面歷史成本資料作為公司價值評定之基礎；另收益基礎法之自由現金流量折現法</w:t>
            </w:r>
            <w:r>
              <w:t>(Discounted Cash Flow Method</w:t>
            </w:r>
            <w:r>
              <w:rPr>
                <w:rFonts w:hint="eastAsia"/>
              </w:rPr>
              <w:t>，</w:t>
            </w:r>
            <w:r>
              <w:t>DCF )</w:t>
            </w:r>
            <w:r>
              <w:rPr>
                <w:rFonts w:hint="eastAsia"/>
              </w:rPr>
              <w:t>則重視公司未來營運所創造之現金流入價值。其中，成本法係以歷史成本為計算之基礎，易忽略通貨膨脹因素且無法反應資產實際之經濟價值，且深受財務報表所</w:t>
            </w:r>
            <w:proofErr w:type="gramStart"/>
            <w:r>
              <w:rPr>
                <w:rFonts w:hint="eastAsia"/>
              </w:rPr>
              <w:t>採</w:t>
            </w:r>
            <w:proofErr w:type="gramEnd"/>
            <w:r>
              <w:rPr>
                <w:rFonts w:hint="eastAsia"/>
              </w:rPr>
              <w:t>行之會計原則與方法之影響，將可能低估成長型公司應有之價值；自由現金流量</w:t>
            </w:r>
            <w:proofErr w:type="gramStart"/>
            <w:r>
              <w:rPr>
                <w:rFonts w:hint="eastAsia"/>
              </w:rPr>
              <w:t>折現法下</w:t>
            </w:r>
            <w:proofErr w:type="gramEnd"/>
            <w:r>
              <w:rPr>
                <w:rFonts w:hint="eastAsia"/>
              </w:rPr>
              <w:t>某些假設，如未來營收成長率、邊際利潤率、資本支出之假設等，在產業快速變化下對未來之預估甚難準確，使未來現金流量及</w:t>
            </w:r>
            <w:r w:rsidRPr="00592C0F">
              <w:rPr>
                <w:rFonts w:hint="eastAsia"/>
              </w:rPr>
              <w:t>加權</w:t>
            </w:r>
            <w:r w:rsidR="00400DB7" w:rsidRPr="00592C0F">
              <w:rPr>
                <w:rFonts w:hint="eastAsia"/>
              </w:rPr>
              <w:t>平均資金成本更無法精確掌握。</w:t>
            </w:r>
            <w:r w:rsidR="00592C0F" w:rsidRPr="00592C0F">
              <w:rPr>
                <w:rFonts w:hint="eastAsia"/>
              </w:rPr>
              <w:t>台興</w:t>
            </w:r>
            <w:r w:rsidR="00400DB7" w:rsidRPr="00592C0F">
              <w:rPr>
                <w:rFonts w:hint="eastAsia"/>
              </w:rPr>
              <w:t>公司</w:t>
            </w:r>
            <w:r w:rsidR="00592C0F" w:rsidRPr="00592C0F">
              <w:rPr>
                <w:rFonts w:hint="eastAsia"/>
              </w:rPr>
              <w:t>獲利良好，</w:t>
            </w:r>
            <w:r w:rsidR="00F67753" w:rsidRPr="00592C0F">
              <w:rPr>
                <w:rFonts w:hint="eastAsia"/>
              </w:rPr>
              <w:t>故</w:t>
            </w:r>
            <w:r w:rsidR="00400DB7" w:rsidRPr="00592C0F">
              <w:rPr>
                <w:rFonts w:hint="eastAsia"/>
              </w:rPr>
              <w:t>擬</w:t>
            </w:r>
            <w:proofErr w:type="gramStart"/>
            <w:r w:rsidR="00400DB7" w:rsidRPr="00592C0F">
              <w:rPr>
                <w:rFonts w:hint="eastAsia"/>
              </w:rPr>
              <w:t>採</w:t>
            </w:r>
            <w:proofErr w:type="gramEnd"/>
            <w:r w:rsidR="00400DB7" w:rsidRPr="00592C0F">
              <w:rPr>
                <w:rFonts w:hint="eastAsia"/>
              </w:rPr>
              <w:t>市場基礎法</w:t>
            </w:r>
            <w:r w:rsidR="00400DB7" w:rsidRPr="00592C0F">
              <w:t>-</w:t>
            </w:r>
            <w:r w:rsidR="00400DB7" w:rsidRPr="00592C0F">
              <w:rPr>
                <w:rFonts w:hint="eastAsia"/>
              </w:rPr>
              <w:t>本益比法</w:t>
            </w:r>
            <w:r w:rsidR="009A2720" w:rsidRPr="00592C0F">
              <w:rPr>
                <w:rFonts w:hint="eastAsia"/>
              </w:rPr>
              <w:t>及股價淨值比法</w:t>
            </w:r>
            <w:r w:rsidR="00400DB7" w:rsidRPr="00592C0F">
              <w:rPr>
                <w:rFonts w:hint="eastAsia"/>
              </w:rPr>
              <w:t>進行評估，</w:t>
            </w:r>
            <w:r w:rsidR="00F67753" w:rsidRPr="00592C0F">
              <w:rPr>
                <w:rFonts w:hint="eastAsia"/>
              </w:rPr>
              <w:t>使</w:t>
            </w:r>
            <w:r w:rsidR="00400DB7" w:rsidRPr="00592C0F">
              <w:rPr>
                <w:rFonts w:hint="eastAsia"/>
              </w:rPr>
              <w:t>認購價格之訂定</w:t>
            </w:r>
            <w:r w:rsidR="00F67753" w:rsidRPr="00592C0F">
              <w:rPr>
                <w:rFonts w:hint="eastAsia"/>
              </w:rPr>
              <w:t>依據</w:t>
            </w:r>
            <w:r w:rsidR="00400DB7" w:rsidRPr="00592C0F">
              <w:rPr>
                <w:rFonts w:hint="eastAsia"/>
              </w:rPr>
              <w:t>及方式</w:t>
            </w:r>
            <w:r w:rsidR="00F67753" w:rsidRPr="00592C0F">
              <w:rPr>
                <w:rFonts w:hint="eastAsia"/>
              </w:rPr>
              <w:t>能夠更貼近該公司現況</w:t>
            </w:r>
            <w:r w:rsidRPr="00592C0F">
              <w:rPr>
                <w:rFonts w:hint="eastAsia"/>
              </w:rPr>
              <w:t>。</w:t>
            </w:r>
          </w:p>
          <w:p w:rsidR="00950360" w:rsidRPr="003F699A" w:rsidRDefault="00523576" w:rsidP="00F94855">
            <w:pPr>
              <w:pStyle w:val="af1"/>
              <w:spacing w:before="180" w:after="180" w:line="360" w:lineRule="exact"/>
              <w:ind w:leftChars="-45" w:left="-108" w:firstLineChars="196" w:firstLine="470"/>
            </w:pPr>
            <w:r w:rsidRPr="007E40C5">
              <w:rPr>
                <w:rFonts w:hAnsi="標楷體" w:hint="eastAsia"/>
                <w:kern w:val="0"/>
              </w:rPr>
              <w:t>經</w:t>
            </w:r>
            <w:r w:rsidR="00F419F4" w:rsidRPr="007E40C5">
              <w:rPr>
                <w:rFonts w:hAnsi="標楷體"/>
                <w:kern w:val="0"/>
              </w:rPr>
              <w:t>參考</w:t>
            </w:r>
            <w:r w:rsidRPr="007E40C5">
              <w:rPr>
                <w:rFonts w:hAnsi="標楷體" w:hint="eastAsia"/>
                <w:kern w:val="0"/>
              </w:rPr>
              <w:t>國內上市</w:t>
            </w:r>
            <w:r w:rsidRPr="007E40C5">
              <w:rPr>
                <w:rFonts w:hAnsi="標楷體" w:hint="eastAsia"/>
                <w:kern w:val="0"/>
              </w:rPr>
              <w:t>(</w:t>
            </w:r>
            <w:r w:rsidRPr="007E40C5">
              <w:rPr>
                <w:rFonts w:hAnsi="標楷體" w:hint="eastAsia"/>
                <w:kern w:val="0"/>
              </w:rPr>
              <w:t>興</w:t>
            </w:r>
            <w:r w:rsidRPr="007E40C5">
              <w:rPr>
                <w:rFonts w:hAnsi="標楷體" w:hint="eastAsia"/>
                <w:kern w:val="0"/>
              </w:rPr>
              <w:t>)</w:t>
            </w:r>
            <w:r w:rsidR="007E40C5" w:rsidRPr="007E40C5">
              <w:rPr>
                <w:rFonts w:hAnsi="標楷體" w:hint="eastAsia"/>
                <w:kern w:val="0"/>
              </w:rPr>
              <w:t>櫃之同業資料，國內並無與台興</w:t>
            </w:r>
            <w:r w:rsidR="00400DB7" w:rsidRPr="007E40C5">
              <w:rPr>
                <w:rFonts w:hAnsi="標楷體" w:hint="eastAsia"/>
                <w:kern w:val="0"/>
              </w:rPr>
              <w:t>公司</w:t>
            </w:r>
            <w:r w:rsidRPr="007E40C5">
              <w:rPr>
                <w:rFonts w:hAnsi="標楷體" w:hint="eastAsia"/>
                <w:kern w:val="0"/>
              </w:rPr>
              <w:t>之產品</w:t>
            </w:r>
            <w:r w:rsidR="00400DB7" w:rsidRPr="007E40C5">
              <w:rPr>
                <w:rFonts w:hAnsi="標楷體" w:hint="eastAsia"/>
                <w:kern w:val="0"/>
              </w:rPr>
              <w:t>種類及比重</w:t>
            </w:r>
            <w:r w:rsidR="00B34824">
              <w:rPr>
                <w:rFonts w:hAnsi="標楷體" w:hint="eastAsia"/>
                <w:kern w:val="0"/>
              </w:rPr>
              <w:t>完全相同之同業，因此僅參考產品屬性、部分</w:t>
            </w:r>
            <w:r w:rsidRPr="007E40C5">
              <w:rPr>
                <w:rFonts w:hAnsi="標楷體" w:hint="eastAsia"/>
                <w:kern w:val="0"/>
              </w:rPr>
              <w:t>業務重疊</w:t>
            </w:r>
            <w:r w:rsidR="007E40C5">
              <w:rPr>
                <w:rFonts w:hAnsi="標楷體" w:hint="eastAsia"/>
                <w:kern w:val="0"/>
              </w:rPr>
              <w:t>及</w:t>
            </w:r>
            <w:r w:rsidR="0051598B">
              <w:rPr>
                <w:rFonts w:hAnsi="標楷體" w:hint="eastAsia"/>
                <w:kern w:val="0"/>
              </w:rPr>
              <w:t>產品</w:t>
            </w:r>
            <w:r w:rsidR="007E40C5">
              <w:rPr>
                <w:rFonts w:hAnsi="標楷體" w:hint="eastAsia"/>
                <w:kern w:val="0"/>
              </w:rPr>
              <w:t>應用產業類似</w:t>
            </w:r>
            <w:r w:rsidRPr="007E40C5">
              <w:rPr>
                <w:rFonts w:hAnsi="標楷體" w:hint="eastAsia"/>
                <w:kern w:val="0"/>
              </w:rPr>
              <w:t>之國內</w:t>
            </w:r>
            <w:r w:rsidR="007E40C5" w:rsidRPr="007E40C5">
              <w:rPr>
                <w:rFonts w:hAnsi="標楷體" w:hint="eastAsia"/>
                <w:kern w:val="0"/>
              </w:rPr>
              <w:t>機電</w:t>
            </w:r>
            <w:r w:rsidR="007E40C5">
              <w:rPr>
                <w:rFonts w:hAnsi="標楷體" w:hint="eastAsia"/>
                <w:kern w:val="0"/>
              </w:rPr>
              <w:t>同業</w:t>
            </w:r>
            <w:r w:rsidR="00F419F4" w:rsidRPr="007E40C5">
              <w:rPr>
                <w:rFonts w:hAnsi="標楷體"/>
                <w:kern w:val="0"/>
              </w:rPr>
              <w:t>公司</w:t>
            </w:r>
            <w:r w:rsidRPr="007E40C5">
              <w:rPr>
                <w:rFonts w:hint="eastAsia"/>
              </w:rPr>
              <w:t>(</w:t>
            </w:r>
            <w:r w:rsidR="00592C0F" w:rsidRPr="007E40C5">
              <w:rPr>
                <w:rFonts w:hint="eastAsia"/>
              </w:rPr>
              <w:t>士電</w:t>
            </w:r>
            <w:r w:rsidR="00F419F4" w:rsidRPr="007E40C5">
              <w:t>-</w:t>
            </w:r>
            <w:r w:rsidR="00F419F4" w:rsidRPr="007E40C5">
              <w:t>股票代號：</w:t>
            </w:r>
            <w:r w:rsidR="00592C0F" w:rsidRPr="007E40C5">
              <w:rPr>
                <w:rFonts w:hint="eastAsia"/>
              </w:rPr>
              <w:t>1503</w:t>
            </w:r>
            <w:r w:rsidR="00F419F4" w:rsidRPr="007E40C5">
              <w:t>、</w:t>
            </w:r>
            <w:r w:rsidR="00592C0F" w:rsidRPr="007E40C5">
              <w:rPr>
                <w:rFonts w:hint="eastAsia"/>
              </w:rPr>
              <w:t>中興電</w:t>
            </w:r>
            <w:r w:rsidR="00F419F4" w:rsidRPr="007E40C5">
              <w:t>-</w:t>
            </w:r>
            <w:r w:rsidR="00F419F4" w:rsidRPr="007E40C5">
              <w:t>股票代號：</w:t>
            </w:r>
            <w:r w:rsidR="00592C0F" w:rsidRPr="007E40C5">
              <w:rPr>
                <w:rFonts w:hint="eastAsia"/>
              </w:rPr>
              <w:t>1513</w:t>
            </w:r>
            <w:r w:rsidR="00F419F4" w:rsidRPr="007E40C5">
              <w:t>、</w:t>
            </w:r>
            <w:r w:rsidR="00592C0F" w:rsidRPr="007E40C5">
              <w:rPr>
                <w:rFonts w:hint="eastAsia"/>
              </w:rPr>
              <w:t>高林</w:t>
            </w:r>
            <w:r w:rsidR="00F419F4" w:rsidRPr="007E40C5">
              <w:t>-</w:t>
            </w:r>
            <w:r w:rsidR="00F419F4" w:rsidRPr="007E40C5">
              <w:t>股票代號：</w:t>
            </w:r>
            <w:r w:rsidR="00592C0F" w:rsidRPr="007E40C5">
              <w:t>2906</w:t>
            </w:r>
            <w:r w:rsidR="00592C0F" w:rsidRPr="007E40C5">
              <w:t>、</w:t>
            </w:r>
            <w:r w:rsidR="007E40C5" w:rsidRPr="007E40C5">
              <w:rPr>
                <w:rFonts w:hint="eastAsia"/>
              </w:rPr>
              <w:t>F-</w:t>
            </w:r>
            <w:r w:rsidR="007E40C5" w:rsidRPr="007E40C5">
              <w:rPr>
                <w:rFonts w:hint="eastAsia"/>
              </w:rPr>
              <w:t>亞德</w:t>
            </w:r>
            <w:r w:rsidR="00592C0F" w:rsidRPr="007E40C5">
              <w:t>-</w:t>
            </w:r>
            <w:r w:rsidR="00592C0F" w:rsidRPr="007E40C5">
              <w:t>股票代號：</w:t>
            </w:r>
            <w:r w:rsidR="007E40C5" w:rsidRPr="007E40C5">
              <w:t>1590</w:t>
            </w:r>
            <w:r w:rsidRPr="007E40C5">
              <w:rPr>
                <w:rFonts w:hint="eastAsia"/>
              </w:rPr>
              <w:t>)</w:t>
            </w:r>
            <w:r w:rsidRPr="007E40C5">
              <w:rPr>
                <w:rFonts w:hint="eastAsia"/>
              </w:rPr>
              <w:t>作為該公司之</w:t>
            </w:r>
            <w:proofErr w:type="gramStart"/>
            <w:r w:rsidRPr="007E40C5">
              <w:rPr>
                <w:rFonts w:hint="eastAsia"/>
              </w:rPr>
              <w:t>採</w:t>
            </w:r>
            <w:proofErr w:type="gramEnd"/>
            <w:r w:rsidRPr="007E40C5">
              <w:rPr>
                <w:rFonts w:hint="eastAsia"/>
              </w:rPr>
              <w:t>樣同業。</w:t>
            </w:r>
            <w:r w:rsidR="00F67753" w:rsidRPr="00592C0F">
              <w:rPr>
                <w:rFonts w:hint="eastAsia"/>
              </w:rPr>
              <w:t>茲就該公司</w:t>
            </w:r>
            <w:proofErr w:type="gramStart"/>
            <w:r w:rsidR="00F67753" w:rsidRPr="00592C0F">
              <w:rPr>
                <w:rFonts w:hint="eastAsia"/>
              </w:rPr>
              <w:t>採</w:t>
            </w:r>
            <w:proofErr w:type="gramEnd"/>
            <w:r w:rsidR="00F67753" w:rsidRPr="00592C0F">
              <w:rPr>
                <w:rFonts w:hint="eastAsia"/>
              </w:rPr>
              <w:t>樣同業最近三個月</w:t>
            </w:r>
            <w:r w:rsidR="00F67753" w:rsidRPr="00592C0F">
              <w:rPr>
                <w:rFonts w:hint="eastAsia"/>
              </w:rPr>
              <w:t>(104</w:t>
            </w:r>
            <w:r w:rsidR="00F67753" w:rsidRPr="00592C0F">
              <w:rPr>
                <w:rFonts w:hint="eastAsia"/>
              </w:rPr>
              <w:t>年</w:t>
            </w:r>
            <w:r w:rsidR="00592C0F" w:rsidRPr="00592C0F">
              <w:rPr>
                <w:rFonts w:hint="eastAsia"/>
              </w:rPr>
              <w:t>5</w:t>
            </w:r>
            <w:r w:rsidR="00F67753" w:rsidRPr="00592C0F">
              <w:rPr>
                <w:rFonts w:hint="eastAsia"/>
              </w:rPr>
              <w:t>月</w:t>
            </w:r>
            <w:r w:rsidR="00F67753" w:rsidRPr="00592C0F">
              <w:rPr>
                <w:rFonts w:hint="eastAsia"/>
              </w:rPr>
              <w:t>~104</w:t>
            </w:r>
            <w:r w:rsidR="00F67753" w:rsidRPr="00592C0F">
              <w:rPr>
                <w:rFonts w:hint="eastAsia"/>
              </w:rPr>
              <w:t>年</w:t>
            </w:r>
            <w:r w:rsidR="00592C0F" w:rsidRPr="00592C0F">
              <w:rPr>
                <w:rFonts w:hint="eastAsia"/>
              </w:rPr>
              <w:t>7</w:t>
            </w:r>
            <w:r w:rsidR="00F67753" w:rsidRPr="00592C0F">
              <w:rPr>
                <w:rFonts w:hint="eastAsia"/>
              </w:rPr>
              <w:t>月</w:t>
            </w:r>
            <w:r w:rsidR="00F67753" w:rsidRPr="00592C0F">
              <w:rPr>
                <w:rFonts w:hint="eastAsia"/>
              </w:rPr>
              <w:t>)</w:t>
            </w:r>
            <w:r w:rsidR="00F67753" w:rsidRPr="00592C0F">
              <w:rPr>
                <w:rFonts w:hint="eastAsia"/>
              </w:rPr>
              <w:t>之本益比</w:t>
            </w:r>
            <w:r w:rsidR="003F699A" w:rsidRPr="00592C0F">
              <w:rPr>
                <w:rFonts w:hint="eastAsia"/>
              </w:rPr>
              <w:t>及股價淨值</w:t>
            </w:r>
            <w:proofErr w:type="gramStart"/>
            <w:r w:rsidR="003F699A" w:rsidRPr="00592C0F">
              <w:rPr>
                <w:rFonts w:hint="eastAsia"/>
              </w:rPr>
              <w:t>比</w:t>
            </w:r>
            <w:r w:rsidR="00F67753" w:rsidRPr="00592C0F">
              <w:rPr>
                <w:rFonts w:hint="eastAsia"/>
              </w:rPr>
              <w:t>列</w:t>
            </w:r>
            <w:proofErr w:type="gramEnd"/>
            <w:r w:rsidR="00F67753" w:rsidRPr="00592C0F">
              <w:rPr>
                <w:rFonts w:hint="eastAsia"/>
              </w:rPr>
              <w:t>示如下：</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67"/>
              <w:gridCol w:w="1578"/>
              <w:gridCol w:w="1436"/>
              <w:gridCol w:w="1436"/>
              <w:gridCol w:w="1435"/>
            </w:tblGrid>
            <w:tr w:rsidR="008C7E79" w:rsidRPr="003F699A" w:rsidTr="00592C0F">
              <w:trPr>
                <w:jc w:val="center"/>
              </w:trPr>
              <w:tc>
                <w:tcPr>
                  <w:tcW w:w="1989" w:type="pct"/>
                  <w:gridSpan w:val="2"/>
                  <w:tcBorders>
                    <w:top w:val="single" w:sz="6" w:space="0" w:color="auto"/>
                    <w:left w:val="single" w:sz="6" w:space="0" w:color="auto"/>
                    <w:bottom w:val="single" w:sz="6" w:space="0" w:color="auto"/>
                    <w:right w:val="single" w:sz="6" w:space="0" w:color="auto"/>
                    <w:tl2br w:val="single" w:sz="6" w:space="0" w:color="auto"/>
                  </w:tcBorders>
                  <w:vAlign w:val="center"/>
                  <w:hideMark/>
                </w:tcPr>
                <w:p w:rsidR="008C7E79" w:rsidRPr="003F699A" w:rsidRDefault="008C7E79" w:rsidP="008C7E79">
                  <w:pPr>
                    <w:rPr>
                      <w:rFonts w:eastAsia="標楷體"/>
                    </w:rPr>
                  </w:pPr>
                  <w:r>
                    <w:rPr>
                      <w:rFonts w:eastAsia="標楷體" w:hint="eastAsia"/>
                    </w:rPr>
                    <w:t>公司</w:t>
                  </w:r>
                  <w:r>
                    <w:rPr>
                      <w:rFonts w:eastAsia="標楷體" w:hint="eastAsia"/>
                    </w:rPr>
                    <w:t xml:space="preserve">               </w:t>
                  </w:r>
                  <w:r w:rsidRPr="003F699A">
                    <w:rPr>
                      <w:rFonts w:eastAsia="標楷體" w:hint="eastAsia"/>
                    </w:rPr>
                    <w:t>月份</w:t>
                  </w:r>
                </w:p>
              </w:tc>
              <w:tc>
                <w:tcPr>
                  <w:tcW w:w="1004" w:type="pct"/>
                  <w:tcBorders>
                    <w:top w:val="single" w:sz="6" w:space="0" w:color="auto"/>
                    <w:left w:val="single" w:sz="6" w:space="0" w:color="auto"/>
                    <w:bottom w:val="single" w:sz="6" w:space="0" w:color="auto"/>
                    <w:right w:val="single" w:sz="6" w:space="0" w:color="auto"/>
                  </w:tcBorders>
                  <w:hideMark/>
                </w:tcPr>
                <w:p w:rsidR="008C7E79" w:rsidRPr="003F699A" w:rsidRDefault="008C7E79" w:rsidP="008C7E79">
                  <w:pPr>
                    <w:jc w:val="center"/>
                    <w:rPr>
                      <w:rFonts w:eastAsia="標楷體"/>
                    </w:rPr>
                  </w:pPr>
                  <w:r w:rsidRPr="003F699A">
                    <w:rPr>
                      <w:rFonts w:eastAsia="標楷體"/>
                    </w:rPr>
                    <w:t>10</w:t>
                  </w:r>
                  <w:r w:rsidRPr="003F699A">
                    <w:rPr>
                      <w:rFonts w:eastAsia="標楷體" w:hint="eastAsia"/>
                    </w:rPr>
                    <w:t>4</w:t>
                  </w:r>
                  <w:r w:rsidRPr="003F699A">
                    <w:rPr>
                      <w:rFonts w:eastAsia="標楷體" w:hint="eastAsia"/>
                    </w:rPr>
                    <w:t>年</w:t>
                  </w:r>
                  <w:r w:rsidR="00592C0F">
                    <w:rPr>
                      <w:rFonts w:eastAsia="標楷體" w:hint="eastAsia"/>
                    </w:rPr>
                    <w:t>5</w:t>
                  </w:r>
                  <w:r w:rsidRPr="003F699A">
                    <w:rPr>
                      <w:rFonts w:eastAsia="標楷體" w:hint="eastAsia"/>
                    </w:rPr>
                    <w:t>月</w:t>
                  </w:r>
                </w:p>
              </w:tc>
              <w:tc>
                <w:tcPr>
                  <w:tcW w:w="1004" w:type="pct"/>
                  <w:tcBorders>
                    <w:top w:val="single" w:sz="6" w:space="0" w:color="auto"/>
                    <w:left w:val="single" w:sz="6" w:space="0" w:color="auto"/>
                    <w:bottom w:val="single" w:sz="6" w:space="0" w:color="auto"/>
                    <w:right w:val="single" w:sz="6" w:space="0" w:color="auto"/>
                  </w:tcBorders>
                  <w:hideMark/>
                </w:tcPr>
                <w:p w:rsidR="008C7E79" w:rsidRPr="003F699A" w:rsidRDefault="008C7E79" w:rsidP="008C7E79">
                  <w:pPr>
                    <w:jc w:val="center"/>
                    <w:rPr>
                      <w:rFonts w:eastAsia="標楷體"/>
                    </w:rPr>
                  </w:pPr>
                  <w:r w:rsidRPr="003F699A">
                    <w:rPr>
                      <w:rFonts w:eastAsia="標楷體"/>
                    </w:rPr>
                    <w:t>104</w:t>
                  </w:r>
                  <w:r w:rsidRPr="003F699A">
                    <w:rPr>
                      <w:rFonts w:eastAsia="標楷體" w:hint="eastAsia"/>
                    </w:rPr>
                    <w:t>年</w:t>
                  </w:r>
                  <w:r w:rsidR="00592C0F">
                    <w:rPr>
                      <w:rFonts w:eastAsia="標楷體" w:hint="eastAsia"/>
                    </w:rPr>
                    <w:t>6</w:t>
                  </w:r>
                  <w:r w:rsidRPr="003F699A">
                    <w:rPr>
                      <w:rFonts w:eastAsia="標楷體" w:hint="eastAsia"/>
                    </w:rPr>
                    <w:t>月</w:t>
                  </w:r>
                </w:p>
              </w:tc>
              <w:tc>
                <w:tcPr>
                  <w:tcW w:w="1003" w:type="pct"/>
                  <w:tcBorders>
                    <w:top w:val="single" w:sz="6" w:space="0" w:color="auto"/>
                    <w:left w:val="single" w:sz="6" w:space="0" w:color="auto"/>
                    <w:bottom w:val="single" w:sz="6" w:space="0" w:color="auto"/>
                    <w:right w:val="single" w:sz="6" w:space="0" w:color="auto"/>
                  </w:tcBorders>
                  <w:hideMark/>
                </w:tcPr>
                <w:p w:rsidR="008C7E79" w:rsidRPr="003F699A" w:rsidRDefault="008C7E79" w:rsidP="00592C0F">
                  <w:pPr>
                    <w:jc w:val="center"/>
                  </w:pPr>
                  <w:r w:rsidRPr="003F699A">
                    <w:rPr>
                      <w:rFonts w:eastAsia="標楷體"/>
                    </w:rPr>
                    <w:t>104</w:t>
                  </w:r>
                  <w:r w:rsidRPr="003F699A">
                    <w:rPr>
                      <w:rFonts w:eastAsia="標楷體" w:hint="eastAsia"/>
                    </w:rPr>
                    <w:t>年</w:t>
                  </w:r>
                  <w:r w:rsidR="00592C0F">
                    <w:rPr>
                      <w:rFonts w:eastAsia="標楷體" w:hint="eastAsia"/>
                    </w:rPr>
                    <w:t>7</w:t>
                  </w:r>
                  <w:r w:rsidRPr="003F699A">
                    <w:rPr>
                      <w:rFonts w:eastAsia="標楷體" w:hint="eastAsia"/>
                    </w:rPr>
                    <w:t>月</w:t>
                  </w:r>
                </w:p>
              </w:tc>
            </w:tr>
            <w:tr w:rsidR="008C7E79" w:rsidRPr="003F699A" w:rsidTr="00474B4E">
              <w:trPr>
                <w:jc w:val="center"/>
              </w:trPr>
              <w:tc>
                <w:tcPr>
                  <w:tcW w:w="886" w:type="pct"/>
                  <w:vMerge w:val="restart"/>
                  <w:tcBorders>
                    <w:top w:val="single" w:sz="6" w:space="0" w:color="auto"/>
                    <w:left w:val="single" w:sz="6" w:space="0" w:color="auto"/>
                    <w:right w:val="single" w:sz="6" w:space="0" w:color="auto"/>
                  </w:tcBorders>
                  <w:vAlign w:val="center"/>
                </w:tcPr>
                <w:p w:rsidR="008C7E79" w:rsidRPr="003F699A" w:rsidRDefault="00592C0F" w:rsidP="003F699A">
                  <w:pPr>
                    <w:adjustRightInd w:val="0"/>
                    <w:snapToGrid w:val="0"/>
                    <w:spacing w:line="360" w:lineRule="atLeast"/>
                    <w:jc w:val="center"/>
                    <w:rPr>
                      <w:rFonts w:eastAsia="標楷體"/>
                    </w:rPr>
                  </w:pPr>
                  <w:r>
                    <w:rPr>
                      <w:rFonts w:eastAsia="標楷體" w:hint="eastAsia"/>
                    </w:rPr>
                    <w:t>士電</w:t>
                  </w:r>
                </w:p>
                <w:p w:rsidR="008C7E79" w:rsidRPr="003F699A" w:rsidRDefault="008C7E79" w:rsidP="003F699A">
                  <w:pPr>
                    <w:adjustRightInd w:val="0"/>
                    <w:snapToGrid w:val="0"/>
                    <w:spacing w:line="360" w:lineRule="atLeast"/>
                    <w:jc w:val="center"/>
                    <w:rPr>
                      <w:rFonts w:eastAsia="標楷體"/>
                    </w:rPr>
                  </w:pPr>
                  <w:r w:rsidRPr="003F699A">
                    <w:rPr>
                      <w:rFonts w:eastAsia="標楷體" w:hint="eastAsia"/>
                    </w:rPr>
                    <w:t>(</w:t>
                  </w:r>
                  <w:r w:rsidR="00592C0F">
                    <w:rPr>
                      <w:rFonts w:eastAsia="標楷體" w:hint="eastAsia"/>
                    </w:rPr>
                    <w:t>1503</w:t>
                  </w:r>
                  <w:r w:rsidRPr="003F699A">
                    <w:rPr>
                      <w:rFonts w:eastAsia="標楷體" w:hint="eastAsi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tcPr>
                <w:p w:rsidR="008C7E79" w:rsidRPr="003F699A" w:rsidRDefault="008C7E79" w:rsidP="003F699A">
                  <w:pPr>
                    <w:snapToGrid w:val="0"/>
                    <w:spacing w:line="360" w:lineRule="atLeast"/>
                    <w:jc w:val="center"/>
                    <w:rPr>
                      <w:rFonts w:eastAsia="標楷體"/>
                      <w:szCs w:val="20"/>
                    </w:rPr>
                  </w:pPr>
                  <w:r w:rsidRPr="003F699A">
                    <w:rPr>
                      <w:rFonts w:eastAsia="標楷體" w:hint="eastAsia"/>
                      <w:szCs w:val="20"/>
                    </w:rPr>
                    <w:t>本益比</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8C7E79" w:rsidRPr="003F699A" w:rsidRDefault="006E3156" w:rsidP="00474B4E">
                  <w:pPr>
                    <w:jc w:val="center"/>
                    <w:rPr>
                      <w:rFonts w:eastAsia="標楷體"/>
                    </w:rPr>
                  </w:pPr>
                  <w:r w:rsidRPr="006E3156">
                    <w:rPr>
                      <w:rFonts w:eastAsia="標楷體"/>
                    </w:rPr>
                    <w:t>15.34</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8C7E79" w:rsidRPr="003F699A" w:rsidRDefault="00A77F7F" w:rsidP="00474B4E">
                  <w:pPr>
                    <w:jc w:val="center"/>
                    <w:rPr>
                      <w:rFonts w:eastAsia="標楷體"/>
                    </w:rPr>
                  </w:pPr>
                  <w:r w:rsidRPr="00A77F7F">
                    <w:rPr>
                      <w:rFonts w:eastAsia="標楷體"/>
                    </w:rPr>
                    <w:t>15.42</w:t>
                  </w:r>
                </w:p>
              </w:tc>
              <w:tc>
                <w:tcPr>
                  <w:tcW w:w="1003" w:type="pct"/>
                  <w:tcBorders>
                    <w:top w:val="single" w:sz="6" w:space="0" w:color="auto"/>
                    <w:left w:val="single" w:sz="6" w:space="0" w:color="auto"/>
                    <w:bottom w:val="single" w:sz="6" w:space="0" w:color="auto"/>
                    <w:right w:val="single" w:sz="6" w:space="0" w:color="auto"/>
                  </w:tcBorders>
                  <w:shd w:val="clear" w:color="auto" w:fill="FFFFFF"/>
                  <w:vAlign w:val="center"/>
                </w:tcPr>
                <w:p w:rsidR="008C7E79" w:rsidRPr="003F699A" w:rsidRDefault="00633A54" w:rsidP="00474B4E">
                  <w:pPr>
                    <w:jc w:val="center"/>
                  </w:pPr>
                  <w:r>
                    <w:rPr>
                      <w:rFonts w:eastAsia="標楷體" w:hint="eastAsia"/>
                    </w:rPr>
                    <w:t>15.08</w:t>
                  </w:r>
                </w:p>
              </w:tc>
            </w:tr>
            <w:tr w:rsidR="008C7E79" w:rsidRPr="003F699A" w:rsidTr="00474B4E">
              <w:trPr>
                <w:jc w:val="center"/>
              </w:trPr>
              <w:tc>
                <w:tcPr>
                  <w:tcW w:w="886" w:type="pct"/>
                  <w:vMerge/>
                  <w:tcBorders>
                    <w:left w:val="single" w:sz="6" w:space="0" w:color="auto"/>
                    <w:bottom w:val="single" w:sz="6" w:space="0" w:color="auto"/>
                    <w:right w:val="single" w:sz="6" w:space="0" w:color="auto"/>
                  </w:tcBorders>
                  <w:vAlign w:val="center"/>
                </w:tcPr>
                <w:p w:rsidR="008C7E79" w:rsidRPr="003F699A" w:rsidRDefault="008C7E79" w:rsidP="003F699A">
                  <w:pPr>
                    <w:adjustRightInd w:val="0"/>
                    <w:snapToGrid w:val="0"/>
                    <w:spacing w:line="360" w:lineRule="atLeast"/>
                    <w:jc w:val="center"/>
                    <w:rPr>
                      <w:rFonts w:eastAsia="標楷體"/>
                    </w:rPr>
                  </w:pPr>
                </w:p>
              </w:tc>
              <w:tc>
                <w:tcPr>
                  <w:tcW w:w="1103" w:type="pct"/>
                  <w:tcBorders>
                    <w:top w:val="single" w:sz="6" w:space="0" w:color="auto"/>
                    <w:left w:val="single" w:sz="6" w:space="0" w:color="auto"/>
                    <w:bottom w:val="single" w:sz="6" w:space="0" w:color="auto"/>
                    <w:right w:val="single" w:sz="6" w:space="0" w:color="auto"/>
                  </w:tcBorders>
                  <w:shd w:val="clear" w:color="auto" w:fill="FFFFFF"/>
                </w:tcPr>
                <w:p w:rsidR="008C7E79" w:rsidRPr="003F699A" w:rsidRDefault="008C7E79" w:rsidP="003F699A">
                  <w:pPr>
                    <w:snapToGrid w:val="0"/>
                    <w:spacing w:line="360" w:lineRule="atLeast"/>
                    <w:jc w:val="center"/>
                    <w:rPr>
                      <w:rFonts w:eastAsia="標楷體"/>
                      <w:szCs w:val="20"/>
                    </w:rPr>
                  </w:pPr>
                  <w:r w:rsidRPr="003F699A">
                    <w:rPr>
                      <w:rFonts w:eastAsia="標楷體" w:hint="eastAsia"/>
                      <w:szCs w:val="20"/>
                    </w:rPr>
                    <w:t>股價淨值比</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8C7E79" w:rsidRPr="003F699A" w:rsidRDefault="006E3156" w:rsidP="00474B4E">
                  <w:pPr>
                    <w:jc w:val="center"/>
                    <w:rPr>
                      <w:rFonts w:eastAsia="標楷體"/>
                    </w:rPr>
                  </w:pPr>
                  <w:r>
                    <w:rPr>
                      <w:rFonts w:eastAsia="標楷體" w:hint="eastAsia"/>
                    </w:rPr>
                    <w:t>0.93</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8C7E79" w:rsidRPr="003F699A" w:rsidRDefault="00A77F7F" w:rsidP="00474B4E">
                  <w:pPr>
                    <w:jc w:val="center"/>
                    <w:rPr>
                      <w:rFonts w:eastAsia="標楷體"/>
                    </w:rPr>
                  </w:pPr>
                  <w:r>
                    <w:rPr>
                      <w:rFonts w:eastAsia="標楷體" w:hint="eastAsia"/>
                    </w:rPr>
                    <w:t>0.93</w:t>
                  </w:r>
                </w:p>
              </w:tc>
              <w:tc>
                <w:tcPr>
                  <w:tcW w:w="1003" w:type="pct"/>
                  <w:tcBorders>
                    <w:top w:val="single" w:sz="6" w:space="0" w:color="auto"/>
                    <w:left w:val="single" w:sz="6" w:space="0" w:color="auto"/>
                    <w:bottom w:val="single" w:sz="6" w:space="0" w:color="auto"/>
                    <w:right w:val="single" w:sz="6" w:space="0" w:color="auto"/>
                  </w:tcBorders>
                  <w:shd w:val="clear" w:color="auto" w:fill="FFFFFF"/>
                  <w:vAlign w:val="center"/>
                </w:tcPr>
                <w:p w:rsidR="008C7E79" w:rsidRPr="00DB1501" w:rsidRDefault="00633A54" w:rsidP="00474B4E">
                  <w:pPr>
                    <w:jc w:val="center"/>
                    <w:rPr>
                      <w:rFonts w:eastAsia="標楷體"/>
                    </w:rPr>
                  </w:pPr>
                  <w:r>
                    <w:rPr>
                      <w:rFonts w:eastAsia="標楷體" w:hint="eastAsia"/>
                    </w:rPr>
                    <w:t>0.91</w:t>
                  </w:r>
                </w:p>
              </w:tc>
            </w:tr>
            <w:tr w:rsidR="008C7E79" w:rsidRPr="003F699A" w:rsidTr="00474B4E">
              <w:trPr>
                <w:jc w:val="center"/>
              </w:trPr>
              <w:tc>
                <w:tcPr>
                  <w:tcW w:w="886" w:type="pct"/>
                  <w:vMerge w:val="restart"/>
                  <w:tcBorders>
                    <w:top w:val="single" w:sz="6" w:space="0" w:color="auto"/>
                    <w:left w:val="single" w:sz="6" w:space="0" w:color="auto"/>
                    <w:right w:val="single" w:sz="6" w:space="0" w:color="auto"/>
                  </w:tcBorders>
                  <w:vAlign w:val="center"/>
                </w:tcPr>
                <w:p w:rsidR="008C7E79" w:rsidRPr="003F699A" w:rsidRDefault="00592C0F" w:rsidP="003F699A">
                  <w:pPr>
                    <w:adjustRightInd w:val="0"/>
                    <w:snapToGrid w:val="0"/>
                    <w:spacing w:line="360" w:lineRule="atLeast"/>
                    <w:jc w:val="center"/>
                    <w:rPr>
                      <w:rFonts w:eastAsia="標楷體"/>
                    </w:rPr>
                  </w:pPr>
                  <w:r w:rsidRPr="00592C0F">
                    <w:rPr>
                      <w:rFonts w:eastAsia="標楷體" w:hint="eastAsia"/>
                    </w:rPr>
                    <w:t>中興電</w:t>
                  </w:r>
                  <w:r w:rsidR="008C7E79" w:rsidRPr="003F699A">
                    <w:rPr>
                      <w:rFonts w:eastAsia="標楷體" w:hint="eastAsia"/>
                    </w:rPr>
                    <w:t>(</w:t>
                  </w:r>
                  <w:r>
                    <w:rPr>
                      <w:rFonts w:eastAsia="標楷體" w:hint="eastAsia"/>
                    </w:rPr>
                    <w:t>1513</w:t>
                  </w:r>
                  <w:r w:rsidR="008C7E79" w:rsidRPr="003F699A">
                    <w:rPr>
                      <w:rFonts w:eastAsia="標楷體" w:hint="eastAsi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tcPr>
                <w:p w:rsidR="008C7E79" w:rsidRPr="003F699A" w:rsidRDefault="008C7E79" w:rsidP="003F699A">
                  <w:pPr>
                    <w:snapToGrid w:val="0"/>
                    <w:spacing w:line="360" w:lineRule="atLeast"/>
                    <w:jc w:val="center"/>
                    <w:rPr>
                      <w:rFonts w:eastAsia="標楷體"/>
                      <w:szCs w:val="20"/>
                    </w:rPr>
                  </w:pPr>
                  <w:r w:rsidRPr="003F699A">
                    <w:rPr>
                      <w:rFonts w:eastAsia="標楷體" w:hint="eastAsia"/>
                      <w:szCs w:val="20"/>
                    </w:rPr>
                    <w:t>本益比</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8C7E79" w:rsidRPr="003F699A" w:rsidRDefault="006E3156" w:rsidP="00474B4E">
                  <w:pPr>
                    <w:jc w:val="center"/>
                    <w:rPr>
                      <w:rFonts w:eastAsia="標楷體"/>
                    </w:rPr>
                  </w:pPr>
                  <w:r w:rsidRPr="006E3156">
                    <w:rPr>
                      <w:rFonts w:eastAsia="標楷體"/>
                    </w:rPr>
                    <w:t>12.33</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8C7E79" w:rsidRPr="003F699A" w:rsidRDefault="00A77F7F" w:rsidP="00474B4E">
                  <w:pPr>
                    <w:jc w:val="center"/>
                    <w:rPr>
                      <w:rFonts w:eastAsia="標楷體"/>
                    </w:rPr>
                  </w:pPr>
                  <w:r w:rsidRPr="00A77F7F">
                    <w:rPr>
                      <w:rFonts w:eastAsia="標楷體" w:hint="eastAsia"/>
                    </w:rPr>
                    <w:t>10.38</w:t>
                  </w:r>
                </w:p>
              </w:tc>
              <w:tc>
                <w:tcPr>
                  <w:tcW w:w="1003" w:type="pct"/>
                  <w:tcBorders>
                    <w:top w:val="single" w:sz="6" w:space="0" w:color="auto"/>
                    <w:left w:val="single" w:sz="6" w:space="0" w:color="auto"/>
                    <w:bottom w:val="single" w:sz="6" w:space="0" w:color="auto"/>
                    <w:right w:val="single" w:sz="6" w:space="0" w:color="auto"/>
                  </w:tcBorders>
                  <w:shd w:val="clear" w:color="auto" w:fill="FFFFFF"/>
                  <w:vAlign w:val="center"/>
                </w:tcPr>
                <w:p w:rsidR="008C7E79" w:rsidRPr="003F699A" w:rsidRDefault="00633A54" w:rsidP="00ED75F3">
                  <w:pPr>
                    <w:jc w:val="center"/>
                    <w:rPr>
                      <w:rFonts w:eastAsia="標楷體"/>
                    </w:rPr>
                  </w:pPr>
                  <w:r>
                    <w:rPr>
                      <w:rFonts w:eastAsia="標楷體" w:hint="eastAsia"/>
                    </w:rPr>
                    <w:t>10.03</w:t>
                  </w:r>
                </w:p>
              </w:tc>
            </w:tr>
            <w:tr w:rsidR="008C7E79" w:rsidRPr="003F699A" w:rsidTr="00474B4E">
              <w:trPr>
                <w:jc w:val="center"/>
              </w:trPr>
              <w:tc>
                <w:tcPr>
                  <w:tcW w:w="886" w:type="pct"/>
                  <w:vMerge/>
                  <w:tcBorders>
                    <w:left w:val="single" w:sz="6" w:space="0" w:color="auto"/>
                    <w:bottom w:val="single" w:sz="6" w:space="0" w:color="auto"/>
                    <w:right w:val="single" w:sz="6" w:space="0" w:color="auto"/>
                  </w:tcBorders>
                  <w:vAlign w:val="center"/>
                </w:tcPr>
                <w:p w:rsidR="008C7E79" w:rsidRPr="003F699A" w:rsidRDefault="008C7E79" w:rsidP="003F699A">
                  <w:pPr>
                    <w:adjustRightInd w:val="0"/>
                    <w:snapToGrid w:val="0"/>
                    <w:spacing w:line="360" w:lineRule="atLeast"/>
                    <w:jc w:val="center"/>
                    <w:rPr>
                      <w:rFonts w:eastAsia="標楷體"/>
                    </w:rPr>
                  </w:pPr>
                </w:p>
              </w:tc>
              <w:tc>
                <w:tcPr>
                  <w:tcW w:w="1103" w:type="pct"/>
                  <w:tcBorders>
                    <w:top w:val="single" w:sz="6" w:space="0" w:color="auto"/>
                    <w:left w:val="single" w:sz="6" w:space="0" w:color="auto"/>
                    <w:bottom w:val="single" w:sz="6" w:space="0" w:color="auto"/>
                    <w:right w:val="single" w:sz="6" w:space="0" w:color="auto"/>
                  </w:tcBorders>
                  <w:shd w:val="clear" w:color="auto" w:fill="FFFFFF"/>
                </w:tcPr>
                <w:p w:rsidR="008C7E79" w:rsidRPr="003F699A" w:rsidRDefault="008C7E79" w:rsidP="003F699A">
                  <w:pPr>
                    <w:snapToGrid w:val="0"/>
                    <w:spacing w:line="360" w:lineRule="atLeast"/>
                    <w:jc w:val="center"/>
                    <w:rPr>
                      <w:rFonts w:eastAsia="標楷體"/>
                      <w:szCs w:val="20"/>
                    </w:rPr>
                  </w:pPr>
                  <w:r w:rsidRPr="003F699A">
                    <w:rPr>
                      <w:rFonts w:eastAsia="標楷體" w:hint="eastAsia"/>
                      <w:szCs w:val="20"/>
                    </w:rPr>
                    <w:t>股價淨值比</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8C7E79" w:rsidRPr="003F699A" w:rsidRDefault="006E3156" w:rsidP="00474B4E">
                  <w:pPr>
                    <w:jc w:val="center"/>
                    <w:rPr>
                      <w:rFonts w:eastAsia="標楷體"/>
                    </w:rPr>
                  </w:pPr>
                  <w:r>
                    <w:rPr>
                      <w:rFonts w:eastAsia="標楷體" w:hint="eastAsia"/>
                    </w:rPr>
                    <w:t>1.16</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8C7E79" w:rsidRPr="003F699A" w:rsidRDefault="00A77F7F" w:rsidP="00474B4E">
                  <w:pPr>
                    <w:jc w:val="center"/>
                    <w:rPr>
                      <w:rFonts w:eastAsia="標楷體"/>
                    </w:rPr>
                  </w:pPr>
                  <w:r>
                    <w:rPr>
                      <w:rFonts w:eastAsia="標楷體" w:hint="eastAsia"/>
                    </w:rPr>
                    <w:t>0.97</w:t>
                  </w:r>
                </w:p>
              </w:tc>
              <w:tc>
                <w:tcPr>
                  <w:tcW w:w="1003" w:type="pct"/>
                  <w:tcBorders>
                    <w:top w:val="single" w:sz="6" w:space="0" w:color="auto"/>
                    <w:left w:val="single" w:sz="6" w:space="0" w:color="auto"/>
                    <w:bottom w:val="single" w:sz="6" w:space="0" w:color="auto"/>
                    <w:right w:val="single" w:sz="6" w:space="0" w:color="auto"/>
                  </w:tcBorders>
                  <w:shd w:val="clear" w:color="auto" w:fill="FFFFFF"/>
                  <w:vAlign w:val="center"/>
                </w:tcPr>
                <w:p w:rsidR="008C7E79" w:rsidRPr="003F699A" w:rsidRDefault="00633A54" w:rsidP="00474B4E">
                  <w:pPr>
                    <w:adjustRightInd w:val="0"/>
                    <w:snapToGrid w:val="0"/>
                    <w:spacing w:line="360" w:lineRule="atLeast"/>
                    <w:jc w:val="center"/>
                    <w:rPr>
                      <w:rFonts w:eastAsia="標楷體"/>
                    </w:rPr>
                  </w:pPr>
                  <w:r>
                    <w:rPr>
                      <w:rFonts w:eastAsia="標楷體" w:hint="eastAsia"/>
                    </w:rPr>
                    <w:t>0.94</w:t>
                  </w:r>
                </w:p>
              </w:tc>
            </w:tr>
            <w:tr w:rsidR="00B34824" w:rsidRPr="003F699A" w:rsidTr="00474B4E">
              <w:trPr>
                <w:jc w:val="center"/>
              </w:trPr>
              <w:tc>
                <w:tcPr>
                  <w:tcW w:w="886" w:type="pct"/>
                  <w:vMerge w:val="restart"/>
                  <w:tcBorders>
                    <w:top w:val="single" w:sz="6" w:space="0" w:color="auto"/>
                    <w:left w:val="single" w:sz="6" w:space="0" w:color="auto"/>
                    <w:right w:val="single" w:sz="6" w:space="0" w:color="auto"/>
                  </w:tcBorders>
                  <w:vAlign w:val="center"/>
                </w:tcPr>
                <w:p w:rsidR="00B34824" w:rsidRDefault="00B34824" w:rsidP="003F699A">
                  <w:pPr>
                    <w:adjustRightInd w:val="0"/>
                    <w:snapToGrid w:val="0"/>
                    <w:spacing w:line="360" w:lineRule="atLeast"/>
                    <w:jc w:val="center"/>
                    <w:rPr>
                      <w:rFonts w:eastAsia="標楷體"/>
                    </w:rPr>
                  </w:pPr>
                  <w:r w:rsidRPr="00592C0F">
                    <w:rPr>
                      <w:rFonts w:eastAsia="標楷體" w:hint="eastAsia"/>
                    </w:rPr>
                    <w:t>高林</w:t>
                  </w:r>
                </w:p>
                <w:p w:rsidR="00B34824" w:rsidRPr="003F699A" w:rsidRDefault="00B34824" w:rsidP="00592C0F">
                  <w:pPr>
                    <w:adjustRightInd w:val="0"/>
                    <w:snapToGrid w:val="0"/>
                    <w:spacing w:line="360" w:lineRule="atLeast"/>
                    <w:jc w:val="center"/>
                    <w:rPr>
                      <w:rFonts w:eastAsia="標楷體"/>
                    </w:rPr>
                  </w:pPr>
                  <w:r>
                    <w:rPr>
                      <w:rFonts w:eastAsia="標楷體" w:hint="eastAsia"/>
                    </w:rPr>
                    <w:t>(2906</w:t>
                  </w:r>
                  <w:r w:rsidRPr="003F699A">
                    <w:rPr>
                      <w:rFonts w:eastAsia="標楷體" w:hint="eastAsia"/>
                    </w:rPr>
                    <w:t>)</w:t>
                  </w:r>
                </w:p>
              </w:tc>
              <w:tc>
                <w:tcPr>
                  <w:tcW w:w="1103" w:type="pct"/>
                  <w:tcBorders>
                    <w:top w:val="single" w:sz="6" w:space="0" w:color="auto"/>
                    <w:left w:val="single" w:sz="6" w:space="0" w:color="auto"/>
                    <w:bottom w:val="single" w:sz="6" w:space="0" w:color="auto"/>
                    <w:right w:val="single" w:sz="6" w:space="0" w:color="auto"/>
                  </w:tcBorders>
                  <w:shd w:val="clear" w:color="auto" w:fill="FFFFFF"/>
                </w:tcPr>
                <w:p w:rsidR="00B34824" w:rsidRPr="003F699A" w:rsidRDefault="00B34824" w:rsidP="003F699A">
                  <w:pPr>
                    <w:snapToGrid w:val="0"/>
                    <w:spacing w:line="360" w:lineRule="atLeast"/>
                    <w:jc w:val="center"/>
                    <w:rPr>
                      <w:rFonts w:eastAsia="標楷體"/>
                      <w:szCs w:val="20"/>
                    </w:rPr>
                  </w:pPr>
                  <w:r w:rsidRPr="003F699A">
                    <w:rPr>
                      <w:rFonts w:eastAsia="標楷體" w:hint="eastAsia"/>
                      <w:szCs w:val="20"/>
                    </w:rPr>
                    <w:t>本益比</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B34824" w:rsidRPr="003F699A" w:rsidRDefault="006E3156" w:rsidP="00474B4E">
                  <w:pPr>
                    <w:jc w:val="center"/>
                    <w:rPr>
                      <w:rFonts w:eastAsia="標楷體"/>
                    </w:rPr>
                  </w:pPr>
                  <w:r w:rsidRPr="006E3156">
                    <w:rPr>
                      <w:rFonts w:eastAsia="標楷體"/>
                    </w:rPr>
                    <w:t>26.08</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B34824" w:rsidRPr="003F699A" w:rsidRDefault="00A77F7F" w:rsidP="00474B4E">
                  <w:pPr>
                    <w:jc w:val="center"/>
                    <w:rPr>
                      <w:rFonts w:eastAsia="標楷體"/>
                    </w:rPr>
                  </w:pPr>
                  <w:r w:rsidRPr="00A77F7F">
                    <w:rPr>
                      <w:rFonts w:eastAsia="標楷體"/>
                    </w:rPr>
                    <w:t>13.76</w:t>
                  </w:r>
                </w:p>
              </w:tc>
              <w:tc>
                <w:tcPr>
                  <w:tcW w:w="1003" w:type="pct"/>
                  <w:tcBorders>
                    <w:top w:val="single" w:sz="6" w:space="0" w:color="auto"/>
                    <w:left w:val="single" w:sz="6" w:space="0" w:color="auto"/>
                    <w:bottom w:val="single" w:sz="6" w:space="0" w:color="auto"/>
                    <w:right w:val="single" w:sz="6" w:space="0" w:color="auto"/>
                  </w:tcBorders>
                  <w:shd w:val="clear" w:color="auto" w:fill="FFFFFF"/>
                  <w:vAlign w:val="center"/>
                </w:tcPr>
                <w:p w:rsidR="00B34824" w:rsidRPr="003F699A" w:rsidRDefault="00354775" w:rsidP="00474B4E">
                  <w:pPr>
                    <w:adjustRightInd w:val="0"/>
                    <w:snapToGrid w:val="0"/>
                    <w:spacing w:line="360" w:lineRule="atLeast"/>
                    <w:jc w:val="center"/>
                    <w:rPr>
                      <w:rFonts w:eastAsia="標楷體"/>
                    </w:rPr>
                  </w:pPr>
                  <w:r w:rsidRPr="00354775">
                    <w:rPr>
                      <w:rFonts w:eastAsia="標楷體"/>
                    </w:rPr>
                    <w:t>21.14</w:t>
                  </w:r>
                </w:p>
              </w:tc>
            </w:tr>
            <w:tr w:rsidR="00B34824" w:rsidRPr="003F699A" w:rsidTr="00474B4E">
              <w:trPr>
                <w:jc w:val="center"/>
              </w:trPr>
              <w:tc>
                <w:tcPr>
                  <w:tcW w:w="886" w:type="pct"/>
                  <w:vMerge/>
                  <w:tcBorders>
                    <w:left w:val="single" w:sz="6" w:space="0" w:color="auto"/>
                    <w:bottom w:val="single" w:sz="6" w:space="0" w:color="auto"/>
                    <w:right w:val="single" w:sz="6" w:space="0" w:color="auto"/>
                  </w:tcBorders>
                  <w:vAlign w:val="center"/>
                </w:tcPr>
                <w:p w:rsidR="00B34824" w:rsidRPr="003F699A" w:rsidRDefault="00B34824" w:rsidP="003F699A">
                  <w:pPr>
                    <w:adjustRightInd w:val="0"/>
                    <w:snapToGrid w:val="0"/>
                    <w:spacing w:line="360" w:lineRule="atLeast"/>
                    <w:jc w:val="center"/>
                    <w:rPr>
                      <w:rFonts w:eastAsia="標楷體"/>
                    </w:rPr>
                  </w:pPr>
                </w:p>
              </w:tc>
              <w:tc>
                <w:tcPr>
                  <w:tcW w:w="1103" w:type="pct"/>
                  <w:tcBorders>
                    <w:top w:val="single" w:sz="6" w:space="0" w:color="auto"/>
                    <w:left w:val="single" w:sz="6" w:space="0" w:color="auto"/>
                    <w:bottom w:val="single" w:sz="6" w:space="0" w:color="auto"/>
                    <w:right w:val="single" w:sz="6" w:space="0" w:color="auto"/>
                  </w:tcBorders>
                  <w:shd w:val="clear" w:color="auto" w:fill="FFFFFF"/>
                </w:tcPr>
                <w:p w:rsidR="00B34824" w:rsidRPr="003F699A" w:rsidRDefault="00B34824" w:rsidP="003F699A">
                  <w:pPr>
                    <w:snapToGrid w:val="0"/>
                    <w:spacing w:line="360" w:lineRule="atLeast"/>
                    <w:jc w:val="center"/>
                    <w:rPr>
                      <w:rFonts w:eastAsia="標楷體"/>
                      <w:szCs w:val="20"/>
                    </w:rPr>
                  </w:pPr>
                  <w:r w:rsidRPr="003F699A">
                    <w:rPr>
                      <w:rFonts w:eastAsia="標楷體" w:hint="eastAsia"/>
                      <w:szCs w:val="20"/>
                    </w:rPr>
                    <w:t>股價淨值比</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B34824" w:rsidRPr="003F699A" w:rsidRDefault="006E3156" w:rsidP="00474B4E">
                  <w:pPr>
                    <w:jc w:val="center"/>
                    <w:rPr>
                      <w:rFonts w:eastAsia="標楷體"/>
                    </w:rPr>
                  </w:pPr>
                  <w:r>
                    <w:rPr>
                      <w:rFonts w:eastAsia="標楷體" w:hint="eastAsia"/>
                    </w:rPr>
                    <w:t>0.91</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B34824" w:rsidRPr="003F699A" w:rsidRDefault="00A77F7F" w:rsidP="00474B4E">
                  <w:pPr>
                    <w:jc w:val="center"/>
                    <w:rPr>
                      <w:rFonts w:eastAsia="標楷體"/>
                    </w:rPr>
                  </w:pPr>
                  <w:r>
                    <w:rPr>
                      <w:rFonts w:eastAsia="標楷體" w:hint="eastAsia"/>
                    </w:rPr>
                    <w:t>0.92</w:t>
                  </w:r>
                </w:p>
              </w:tc>
              <w:tc>
                <w:tcPr>
                  <w:tcW w:w="1003" w:type="pct"/>
                  <w:tcBorders>
                    <w:top w:val="single" w:sz="6" w:space="0" w:color="auto"/>
                    <w:left w:val="single" w:sz="6" w:space="0" w:color="auto"/>
                    <w:bottom w:val="single" w:sz="6" w:space="0" w:color="auto"/>
                    <w:right w:val="single" w:sz="6" w:space="0" w:color="auto"/>
                  </w:tcBorders>
                  <w:shd w:val="clear" w:color="auto" w:fill="FFFFFF"/>
                  <w:vAlign w:val="center"/>
                </w:tcPr>
                <w:p w:rsidR="00B34824" w:rsidRPr="003F699A" w:rsidRDefault="00354775" w:rsidP="00474B4E">
                  <w:pPr>
                    <w:adjustRightInd w:val="0"/>
                    <w:snapToGrid w:val="0"/>
                    <w:spacing w:line="360" w:lineRule="atLeast"/>
                    <w:jc w:val="center"/>
                    <w:rPr>
                      <w:rFonts w:eastAsia="標楷體"/>
                    </w:rPr>
                  </w:pPr>
                  <w:r>
                    <w:rPr>
                      <w:rFonts w:eastAsia="標楷體" w:hint="eastAsia"/>
                    </w:rPr>
                    <w:t>0.74</w:t>
                  </w:r>
                </w:p>
              </w:tc>
            </w:tr>
            <w:tr w:rsidR="00592C0F" w:rsidRPr="003F699A" w:rsidTr="00474B4E">
              <w:trPr>
                <w:jc w:val="center"/>
              </w:trPr>
              <w:tc>
                <w:tcPr>
                  <w:tcW w:w="886" w:type="pct"/>
                  <w:vMerge w:val="restart"/>
                  <w:tcBorders>
                    <w:left w:val="single" w:sz="6" w:space="0" w:color="auto"/>
                    <w:right w:val="single" w:sz="6" w:space="0" w:color="auto"/>
                  </w:tcBorders>
                  <w:vAlign w:val="center"/>
                </w:tcPr>
                <w:p w:rsidR="00592C0F" w:rsidRPr="003F699A" w:rsidRDefault="00592C0F" w:rsidP="00592C0F">
                  <w:pPr>
                    <w:adjustRightInd w:val="0"/>
                    <w:snapToGrid w:val="0"/>
                    <w:spacing w:line="360" w:lineRule="atLeast"/>
                    <w:jc w:val="center"/>
                    <w:rPr>
                      <w:rFonts w:eastAsia="標楷體"/>
                    </w:rPr>
                  </w:pPr>
                  <w:r w:rsidRPr="00592C0F">
                    <w:rPr>
                      <w:rFonts w:eastAsia="標楷體" w:hint="eastAsia"/>
                    </w:rPr>
                    <w:t>F-</w:t>
                  </w:r>
                  <w:r w:rsidRPr="00592C0F">
                    <w:rPr>
                      <w:rFonts w:eastAsia="標楷體" w:hint="eastAsia"/>
                    </w:rPr>
                    <w:t>亞德</w:t>
                  </w:r>
                  <w:r>
                    <w:rPr>
                      <w:rFonts w:eastAsia="標楷體" w:hint="eastAsia"/>
                    </w:rPr>
                    <w:t>(1590)</w:t>
                  </w:r>
                </w:p>
              </w:tc>
              <w:tc>
                <w:tcPr>
                  <w:tcW w:w="1103" w:type="pct"/>
                  <w:tcBorders>
                    <w:top w:val="single" w:sz="6" w:space="0" w:color="auto"/>
                    <w:left w:val="single" w:sz="6" w:space="0" w:color="auto"/>
                    <w:bottom w:val="single" w:sz="6" w:space="0" w:color="auto"/>
                    <w:right w:val="single" w:sz="6" w:space="0" w:color="auto"/>
                  </w:tcBorders>
                  <w:shd w:val="clear" w:color="auto" w:fill="FFFFFF"/>
                </w:tcPr>
                <w:p w:rsidR="00592C0F" w:rsidRPr="003F699A" w:rsidRDefault="00592C0F" w:rsidP="00217D03">
                  <w:pPr>
                    <w:snapToGrid w:val="0"/>
                    <w:spacing w:line="360" w:lineRule="atLeast"/>
                    <w:jc w:val="center"/>
                    <w:rPr>
                      <w:rFonts w:eastAsia="標楷體"/>
                      <w:szCs w:val="20"/>
                    </w:rPr>
                  </w:pPr>
                  <w:r w:rsidRPr="003F699A">
                    <w:rPr>
                      <w:rFonts w:eastAsia="標楷體" w:hint="eastAsia"/>
                      <w:szCs w:val="20"/>
                    </w:rPr>
                    <w:t>本益比</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592C0F" w:rsidRDefault="006E3156" w:rsidP="00474B4E">
                  <w:pPr>
                    <w:jc w:val="center"/>
                    <w:rPr>
                      <w:rFonts w:eastAsia="標楷體"/>
                    </w:rPr>
                  </w:pPr>
                  <w:r w:rsidRPr="006E3156">
                    <w:rPr>
                      <w:rFonts w:eastAsia="標楷體"/>
                    </w:rPr>
                    <w:t>25.36</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592C0F" w:rsidRDefault="00A77F7F" w:rsidP="00474B4E">
                  <w:pPr>
                    <w:jc w:val="center"/>
                    <w:rPr>
                      <w:rFonts w:eastAsia="標楷體"/>
                    </w:rPr>
                  </w:pPr>
                  <w:r w:rsidRPr="00A77F7F">
                    <w:rPr>
                      <w:rFonts w:eastAsia="標楷體"/>
                    </w:rPr>
                    <w:t>20.16</w:t>
                  </w:r>
                </w:p>
              </w:tc>
              <w:tc>
                <w:tcPr>
                  <w:tcW w:w="1003" w:type="pct"/>
                  <w:tcBorders>
                    <w:top w:val="single" w:sz="6" w:space="0" w:color="auto"/>
                    <w:left w:val="single" w:sz="6" w:space="0" w:color="auto"/>
                    <w:bottom w:val="single" w:sz="6" w:space="0" w:color="auto"/>
                    <w:right w:val="single" w:sz="6" w:space="0" w:color="auto"/>
                  </w:tcBorders>
                  <w:shd w:val="clear" w:color="auto" w:fill="FFFFFF"/>
                  <w:vAlign w:val="center"/>
                </w:tcPr>
                <w:p w:rsidR="00592C0F" w:rsidRDefault="007C522B" w:rsidP="00474B4E">
                  <w:pPr>
                    <w:adjustRightInd w:val="0"/>
                    <w:snapToGrid w:val="0"/>
                    <w:spacing w:line="360" w:lineRule="atLeast"/>
                    <w:jc w:val="center"/>
                    <w:rPr>
                      <w:rFonts w:eastAsia="標楷體"/>
                    </w:rPr>
                  </w:pPr>
                  <w:r w:rsidRPr="007C522B">
                    <w:rPr>
                      <w:rFonts w:eastAsia="標楷體"/>
                    </w:rPr>
                    <w:t>15.10</w:t>
                  </w:r>
                </w:p>
              </w:tc>
            </w:tr>
            <w:tr w:rsidR="00592C0F" w:rsidRPr="003F699A" w:rsidTr="00474B4E">
              <w:trPr>
                <w:jc w:val="center"/>
              </w:trPr>
              <w:tc>
                <w:tcPr>
                  <w:tcW w:w="886" w:type="pct"/>
                  <w:vMerge/>
                  <w:tcBorders>
                    <w:left w:val="single" w:sz="6" w:space="0" w:color="auto"/>
                    <w:bottom w:val="single" w:sz="6" w:space="0" w:color="auto"/>
                    <w:right w:val="single" w:sz="6" w:space="0" w:color="auto"/>
                  </w:tcBorders>
                  <w:vAlign w:val="center"/>
                </w:tcPr>
                <w:p w:rsidR="00592C0F" w:rsidRPr="003F699A" w:rsidRDefault="00592C0F" w:rsidP="003F699A">
                  <w:pPr>
                    <w:adjustRightInd w:val="0"/>
                    <w:snapToGrid w:val="0"/>
                    <w:spacing w:line="360" w:lineRule="atLeast"/>
                    <w:jc w:val="center"/>
                    <w:rPr>
                      <w:rFonts w:eastAsia="標楷體"/>
                    </w:rPr>
                  </w:pPr>
                </w:p>
              </w:tc>
              <w:tc>
                <w:tcPr>
                  <w:tcW w:w="1103" w:type="pct"/>
                  <w:tcBorders>
                    <w:top w:val="single" w:sz="6" w:space="0" w:color="auto"/>
                    <w:left w:val="single" w:sz="6" w:space="0" w:color="auto"/>
                    <w:bottom w:val="single" w:sz="6" w:space="0" w:color="auto"/>
                    <w:right w:val="single" w:sz="6" w:space="0" w:color="auto"/>
                  </w:tcBorders>
                  <w:shd w:val="clear" w:color="auto" w:fill="FFFFFF"/>
                </w:tcPr>
                <w:p w:rsidR="00592C0F" w:rsidRPr="003F699A" w:rsidRDefault="00592C0F" w:rsidP="00217D03">
                  <w:pPr>
                    <w:snapToGrid w:val="0"/>
                    <w:spacing w:line="360" w:lineRule="atLeast"/>
                    <w:jc w:val="center"/>
                    <w:rPr>
                      <w:rFonts w:eastAsia="標楷體"/>
                      <w:szCs w:val="20"/>
                    </w:rPr>
                  </w:pPr>
                  <w:r w:rsidRPr="003F699A">
                    <w:rPr>
                      <w:rFonts w:eastAsia="標楷體" w:hint="eastAsia"/>
                      <w:szCs w:val="20"/>
                    </w:rPr>
                    <w:t>股價淨值比</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592C0F" w:rsidRDefault="006E3156" w:rsidP="00474B4E">
                  <w:pPr>
                    <w:jc w:val="center"/>
                    <w:rPr>
                      <w:rFonts w:eastAsia="標楷體"/>
                    </w:rPr>
                  </w:pPr>
                  <w:r>
                    <w:rPr>
                      <w:rFonts w:eastAsia="標楷體" w:hint="eastAsia"/>
                    </w:rPr>
                    <w:t>4.13</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592C0F" w:rsidRDefault="00A77F7F" w:rsidP="00474B4E">
                  <w:pPr>
                    <w:jc w:val="center"/>
                    <w:rPr>
                      <w:rFonts w:eastAsia="標楷體"/>
                    </w:rPr>
                  </w:pPr>
                  <w:r>
                    <w:rPr>
                      <w:rFonts w:eastAsia="標楷體" w:hint="eastAsia"/>
                    </w:rPr>
                    <w:t>3.28</w:t>
                  </w:r>
                </w:p>
              </w:tc>
              <w:tc>
                <w:tcPr>
                  <w:tcW w:w="1003" w:type="pct"/>
                  <w:tcBorders>
                    <w:top w:val="single" w:sz="6" w:space="0" w:color="auto"/>
                    <w:left w:val="single" w:sz="6" w:space="0" w:color="auto"/>
                    <w:bottom w:val="single" w:sz="6" w:space="0" w:color="auto"/>
                    <w:right w:val="single" w:sz="6" w:space="0" w:color="auto"/>
                  </w:tcBorders>
                  <w:shd w:val="clear" w:color="auto" w:fill="FFFFFF"/>
                  <w:vAlign w:val="center"/>
                </w:tcPr>
                <w:p w:rsidR="00592C0F" w:rsidRDefault="007C522B" w:rsidP="00474B4E">
                  <w:pPr>
                    <w:adjustRightInd w:val="0"/>
                    <w:snapToGrid w:val="0"/>
                    <w:spacing w:line="360" w:lineRule="atLeast"/>
                    <w:jc w:val="center"/>
                    <w:rPr>
                      <w:rFonts w:eastAsia="標楷體"/>
                    </w:rPr>
                  </w:pPr>
                  <w:r>
                    <w:rPr>
                      <w:rFonts w:eastAsia="標楷體" w:hint="eastAsia"/>
                    </w:rPr>
                    <w:t>2.46</w:t>
                  </w:r>
                </w:p>
              </w:tc>
            </w:tr>
          </w:tbl>
          <w:p w:rsidR="00523576" w:rsidRDefault="00523576" w:rsidP="00592C0F">
            <w:pPr>
              <w:pStyle w:val="af1"/>
              <w:spacing w:after="180" w:line="360" w:lineRule="exact"/>
              <w:ind w:leftChars="-45" w:left="-108" w:firstLineChars="45" w:firstLine="108"/>
            </w:pPr>
            <w:r>
              <w:rPr>
                <w:rFonts w:hint="eastAsia"/>
              </w:rPr>
              <w:t>資料來源：臺灣證券交易所</w:t>
            </w:r>
            <w:r w:rsidR="00A96FF8">
              <w:rPr>
                <w:rFonts w:hint="eastAsia"/>
              </w:rPr>
              <w:t>。</w:t>
            </w:r>
          </w:p>
          <w:p w:rsidR="00400DB2" w:rsidRPr="007D1D84" w:rsidRDefault="00523576" w:rsidP="00B153FB">
            <w:pPr>
              <w:pStyle w:val="af1"/>
              <w:spacing w:before="180" w:after="180" w:line="360" w:lineRule="exact"/>
              <w:ind w:leftChars="-45" w:left="-108" w:firstLineChars="196" w:firstLine="470"/>
            </w:pPr>
            <w:r w:rsidRPr="0051598B">
              <w:t>依上表所示，該公司</w:t>
            </w:r>
            <w:proofErr w:type="gramStart"/>
            <w:r w:rsidRPr="0051598B">
              <w:t>採</w:t>
            </w:r>
            <w:proofErr w:type="gramEnd"/>
            <w:r w:rsidRPr="0051598B">
              <w:t>樣同業最近三個月</w:t>
            </w:r>
            <w:r w:rsidRPr="0051598B">
              <w:t>(104</w:t>
            </w:r>
            <w:r w:rsidRPr="0051598B">
              <w:t>年</w:t>
            </w:r>
            <w:r w:rsidR="007C522B" w:rsidRPr="0051598B">
              <w:rPr>
                <w:rFonts w:hint="eastAsia"/>
              </w:rPr>
              <w:t>5</w:t>
            </w:r>
            <w:r w:rsidRPr="0051598B">
              <w:t>月</w:t>
            </w:r>
            <w:r w:rsidRPr="0051598B">
              <w:t>~104</w:t>
            </w:r>
            <w:r w:rsidRPr="0051598B">
              <w:t>年</w:t>
            </w:r>
            <w:r w:rsidR="007C522B" w:rsidRPr="0051598B">
              <w:rPr>
                <w:rFonts w:hint="eastAsia"/>
              </w:rPr>
              <w:t>7</w:t>
            </w:r>
            <w:r w:rsidRPr="0051598B">
              <w:t>月</w:t>
            </w:r>
            <w:r w:rsidRPr="0051598B">
              <w:t>)</w:t>
            </w:r>
            <w:r w:rsidRPr="0051598B">
              <w:t>本益比</w:t>
            </w:r>
            <w:r w:rsidR="007D1D84" w:rsidRPr="0051598B">
              <w:rPr>
                <w:rFonts w:hint="eastAsia"/>
              </w:rPr>
              <w:t>區間介於</w:t>
            </w:r>
            <w:r w:rsidR="007D1D84" w:rsidRPr="0051598B">
              <w:t>1</w:t>
            </w:r>
            <w:r w:rsidR="008E0EC2" w:rsidRPr="0051598B">
              <w:rPr>
                <w:rFonts w:hint="eastAsia"/>
              </w:rPr>
              <w:t>0.03</w:t>
            </w:r>
            <w:r w:rsidR="007D1D84" w:rsidRPr="0051598B">
              <w:t>~</w:t>
            </w:r>
            <w:r w:rsidR="00474B4E" w:rsidRPr="0051598B">
              <w:t>26.08</w:t>
            </w:r>
            <w:r w:rsidRPr="0051598B">
              <w:t>倍之間。以該公司</w:t>
            </w:r>
            <w:proofErr w:type="gramStart"/>
            <w:r w:rsidRPr="0051598B">
              <w:t>103</w:t>
            </w:r>
            <w:proofErr w:type="gramEnd"/>
            <w:r w:rsidR="0031279B" w:rsidRPr="0051598B">
              <w:rPr>
                <w:rFonts w:hint="eastAsia"/>
              </w:rPr>
              <w:t>年</w:t>
            </w:r>
            <w:r w:rsidRPr="0051598B">
              <w:t>度之每股盈餘</w:t>
            </w:r>
            <w:r w:rsidR="00474B4E" w:rsidRPr="0051598B">
              <w:rPr>
                <w:rFonts w:hint="eastAsia"/>
              </w:rPr>
              <w:t>3.51</w:t>
            </w:r>
            <w:r w:rsidRPr="0051598B">
              <w:t>元做為參考依據，價格區間約為</w:t>
            </w:r>
            <w:r w:rsidR="00474B4E" w:rsidRPr="0051598B">
              <w:rPr>
                <w:rFonts w:hint="eastAsia"/>
              </w:rPr>
              <w:t>35.21</w:t>
            </w:r>
            <w:r w:rsidR="007D1D84" w:rsidRPr="0051598B">
              <w:t>~</w:t>
            </w:r>
            <w:r w:rsidR="00474B4E" w:rsidRPr="0051598B">
              <w:rPr>
                <w:rFonts w:hint="eastAsia"/>
              </w:rPr>
              <w:t>91.54</w:t>
            </w:r>
            <w:r w:rsidR="00B153FB" w:rsidRPr="0051598B">
              <w:t>元</w:t>
            </w:r>
            <w:r w:rsidR="00B153FB" w:rsidRPr="0051598B">
              <w:rPr>
                <w:rFonts w:hint="eastAsia"/>
              </w:rPr>
              <w:t>；</w:t>
            </w:r>
            <w:r w:rsidR="00B153FB" w:rsidRPr="0051598B">
              <w:t>該公司</w:t>
            </w:r>
            <w:proofErr w:type="gramStart"/>
            <w:r w:rsidR="00B153FB" w:rsidRPr="0051598B">
              <w:t>採</w:t>
            </w:r>
            <w:proofErr w:type="gramEnd"/>
            <w:r w:rsidR="00B153FB" w:rsidRPr="0051598B">
              <w:t>樣同業最近三個月</w:t>
            </w:r>
            <w:r w:rsidR="00474B4E" w:rsidRPr="0051598B">
              <w:t>(104</w:t>
            </w:r>
            <w:r w:rsidR="00474B4E" w:rsidRPr="0051598B">
              <w:t>年</w:t>
            </w:r>
            <w:r w:rsidR="00474B4E" w:rsidRPr="0051598B">
              <w:rPr>
                <w:rFonts w:hint="eastAsia"/>
              </w:rPr>
              <w:t>5</w:t>
            </w:r>
            <w:r w:rsidR="00474B4E" w:rsidRPr="0051598B">
              <w:t>月</w:t>
            </w:r>
            <w:r w:rsidR="00474B4E" w:rsidRPr="0051598B">
              <w:t>~104</w:t>
            </w:r>
            <w:r w:rsidR="00474B4E" w:rsidRPr="0051598B">
              <w:t>年</w:t>
            </w:r>
            <w:r w:rsidR="00474B4E" w:rsidRPr="0051598B">
              <w:rPr>
                <w:rFonts w:hint="eastAsia"/>
              </w:rPr>
              <w:t>7</w:t>
            </w:r>
            <w:r w:rsidR="00474B4E" w:rsidRPr="0051598B">
              <w:t>月</w:t>
            </w:r>
            <w:r w:rsidR="00474B4E" w:rsidRPr="0051598B">
              <w:t>)</w:t>
            </w:r>
            <w:r w:rsidR="00B153FB" w:rsidRPr="0051598B">
              <w:rPr>
                <w:rFonts w:hint="eastAsia"/>
              </w:rPr>
              <w:t>股價淨值</w:t>
            </w:r>
            <w:r w:rsidR="00B153FB" w:rsidRPr="0051598B">
              <w:t>比</w:t>
            </w:r>
            <w:r w:rsidR="00B153FB" w:rsidRPr="0051598B">
              <w:rPr>
                <w:rFonts w:hint="eastAsia"/>
              </w:rPr>
              <w:t>區間介於</w:t>
            </w:r>
            <w:r w:rsidR="00474B4E" w:rsidRPr="0051598B">
              <w:rPr>
                <w:rFonts w:hint="eastAsia"/>
              </w:rPr>
              <w:t>0.74</w:t>
            </w:r>
            <w:r w:rsidR="00B153FB" w:rsidRPr="0051598B">
              <w:t>~</w:t>
            </w:r>
            <w:r w:rsidR="00474B4E" w:rsidRPr="0051598B">
              <w:rPr>
                <w:rFonts w:hint="eastAsia"/>
              </w:rPr>
              <w:t>4.13</w:t>
            </w:r>
            <w:r w:rsidR="00B153FB" w:rsidRPr="0051598B">
              <w:t>倍之間。以該公司</w:t>
            </w:r>
            <w:r w:rsidR="00B153FB" w:rsidRPr="0051598B">
              <w:t>103</w:t>
            </w:r>
            <w:r w:rsidR="00B153FB" w:rsidRPr="0051598B">
              <w:rPr>
                <w:rFonts w:hint="eastAsia"/>
              </w:rPr>
              <w:t>年底</w:t>
            </w:r>
            <w:r w:rsidR="00B153FB" w:rsidRPr="0051598B">
              <w:t>之每股</w:t>
            </w:r>
            <w:r w:rsidR="00B153FB" w:rsidRPr="0051598B">
              <w:rPr>
                <w:rFonts w:hint="eastAsia"/>
              </w:rPr>
              <w:t>淨值</w:t>
            </w:r>
            <w:r w:rsidR="00474B4E" w:rsidRPr="0051598B">
              <w:rPr>
                <w:rFonts w:hint="eastAsia"/>
              </w:rPr>
              <w:t>23.59</w:t>
            </w:r>
            <w:r w:rsidR="00B153FB" w:rsidRPr="0051598B">
              <w:t>元做為參考依據，價格區間約</w:t>
            </w:r>
            <w:r w:rsidR="00474B4E" w:rsidRPr="0051598B">
              <w:rPr>
                <w:rFonts w:hint="eastAsia"/>
              </w:rPr>
              <w:t>17.46</w:t>
            </w:r>
            <w:r w:rsidR="00B153FB" w:rsidRPr="0051598B">
              <w:t>~</w:t>
            </w:r>
            <w:r w:rsidR="00474B4E" w:rsidRPr="0051598B">
              <w:rPr>
                <w:rFonts w:hint="eastAsia"/>
              </w:rPr>
              <w:t>97.43</w:t>
            </w:r>
            <w:r w:rsidR="00B153FB" w:rsidRPr="0051598B">
              <w:t>元</w:t>
            </w:r>
            <w:r w:rsidR="00B153FB" w:rsidRPr="0051598B">
              <w:rPr>
                <w:rFonts w:hint="eastAsia"/>
              </w:rPr>
              <w:t>。</w:t>
            </w:r>
          </w:p>
          <w:p w:rsidR="00B04F87" w:rsidRPr="00F419F4" w:rsidRDefault="007D1D84" w:rsidP="0087637D">
            <w:pPr>
              <w:pStyle w:val="af1"/>
              <w:spacing w:before="180" w:after="180" w:line="360" w:lineRule="exact"/>
              <w:ind w:leftChars="-45" w:left="-108" w:firstLineChars="196" w:firstLine="470"/>
            </w:pPr>
            <w:r w:rsidRPr="007D1D84">
              <w:rPr>
                <w:rFonts w:hint="eastAsia"/>
              </w:rPr>
              <w:t>經</w:t>
            </w:r>
            <w:r w:rsidR="007E40C5">
              <w:t>考量</w:t>
            </w:r>
            <w:r w:rsidR="007E40C5">
              <w:rPr>
                <w:rFonts w:hint="eastAsia"/>
              </w:rPr>
              <w:t>台興</w:t>
            </w:r>
            <w:r w:rsidR="0087637D">
              <w:t>市場競爭利基、產業發展前景</w:t>
            </w:r>
            <w:r w:rsidR="0087637D">
              <w:rPr>
                <w:rFonts w:hint="eastAsia"/>
              </w:rPr>
              <w:t>、</w:t>
            </w:r>
            <w:r w:rsidR="00523576" w:rsidRPr="007D1D84">
              <w:t>未來年度預估獲利</w:t>
            </w:r>
            <w:r w:rsidR="0087637D">
              <w:rPr>
                <w:rFonts w:hint="eastAsia"/>
              </w:rPr>
              <w:t>、</w:t>
            </w:r>
            <w:proofErr w:type="gramStart"/>
            <w:r w:rsidR="008E7D77">
              <w:rPr>
                <w:rFonts w:hint="eastAsia"/>
              </w:rPr>
              <w:t>1</w:t>
            </w:r>
            <w:r w:rsidR="008E7D77">
              <w:t>04</w:t>
            </w:r>
            <w:proofErr w:type="gramEnd"/>
            <w:r w:rsidR="008E7D77">
              <w:rPr>
                <w:rFonts w:hint="eastAsia"/>
              </w:rPr>
              <w:t>年度</w:t>
            </w:r>
            <w:r w:rsidR="007E40C5">
              <w:rPr>
                <w:rFonts w:hint="eastAsia"/>
              </w:rPr>
              <w:t>1~7</w:t>
            </w:r>
            <w:r w:rsidR="008E7D77">
              <w:rPr>
                <w:rFonts w:hint="eastAsia"/>
              </w:rPr>
              <w:t>月營運業績、</w:t>
            </w:r>
            <w:proofErr w:type="gramStart"/>
            <w:r w:rsidR="0087637D">
              <w:t>興櫃市場</w:t>
            </w:r>
            <w:proofErr w:type="gramEnd"/>
            <w:r w:rsidR="0087637D">
              <w:t>流動性</w:t>
            </w:r>
            <w:r w:rsidR="008E7D77">
              <w:rPr>
                <w:rFonts w:hint="eastAsia"/>
              </w:rPr>
              <w:t>貼水</w:t>
            </w:r>
            <w:r w:rsidR="0087637D" w:rsidRPr="007D1D84">
              <w:t>及</w:t>
            </w:r>
            <w:proofErr w:type="gramStart"/>
            <w:r w:rsidR="0087637D" w:rsidRPr="007D1D84">
              <w:t>興櫃、</w:t>
            </w:r>
            <w:proofErr w:type="gramEnd"/>
            <w:r w:rsidR="0087637D" w:rsidRPr="007D1D84">
              <w:t>上</w:t>
            </w:r>
            <w:r w:rsidR="0087637D" w:rsidRPr="007D1D84">
              <w:rPr>
                <w:rFonts w:hint="eastAsia"/>
              </w:rPr>
              <w:t>市</w:t>
            </w:r>
            <w:r w:rsidR="0087637D">
              <w:t>擬掛牌股本、持有時間</w:t>
            </w:r>
            <w:r w:rsidR="00523576" w:rsidRPr="007D1D84">
              <w:t>等因素後，</w:t>
            </w:r>
            <w:proofErr w:type="gramStart"/>
            <w:r w:rsidR="00523576" w:rsidRPr="007D1D84">
              <w:t>本興櫃</w:t>
            </w:r>
            <w:proofErr w:type="gramEnd"/>
            <w:r w:rsidR="00523576" w:rsidRPr="007D1D84">
              <w:t>推薦證券商與該公司共同</w:t>
            </w:r>
            <w:proofErr w:type="gramStart"/>
            <w:r w:rsidR="00523576" w:rsidRPr="007D1D84">
              <w:t>議定興櫃認購</w:t>
            </w:r>
            <w:proofErr w:type="gramEnd"/>
            <w:r w:rsidR="00523576" w:rsidRPr="007D1D84">
              <w:t>價格為每股</w:t>
            </w:r>
            <w:r w:rsidR="007E40C5">
              <w:rPr>
                <w:rFonts w:hint="eastAsia"/>
              </w:rPr>
              <w:t>36</w:t>
            </w:r>
            <w:r w:rsidR="008E7D77">
              <w:t>元，介於上述</w:t>
            </w:r>
            <w:proofErr w:type="gramStart"/>
            <w:r w:rsidR="008E7D77">
              <w:t>採</w:t>
            </w:r>
            <w:proofErr w:type="gramEnd"/>
            <w:r w:rsidR="008E7D77">
              <w:t>樣同業</w:t>
            </w:r>
            <w:r w:rsidR="00523576" w:rsidRPr="007D1D84">
              <w:t>之本益比</w:t>
            </w:r>
            <w:r w:rsidRPr="007D1D84">
              <w:rPr>
                <w:rFonts w:hint="eastAsia"/>
              </w:rPr>
              <w:t>及股價淨值比</w:t>
            </w:r>
            <w:r w:rsidR="00D126B4">
              <w:rPr>
                <w:rFonts w:hint="eastAsia"/>
              </w:rPr>
              <w:t>評價價格</w:t>
            </w:r>
            <w:r w:rsidR="00523576" w:rsidRPr="007D1D84">
              <w:t>區間，故尚屬合理。</w:t>
            </w:r>
          </w:p>
        </w:tc>
      </w:tr>
      <w:bookmarkStart w:id="2" w:name="公司簡介"/>
      <w:bookmarkEnd w:id="2"/>
      <w:tr w:rsidR="00161123" w:rsidTr="0005586B">
        <w:tblPrEx>
          <w:tblCellMar>
            <w:left w:w="28" w:type="dxa"/>
            <w:right w:w="28" w:type="dxa"/>
          </w:tblCellMar>
          <w:tblLook w:val="0000" w:firstRow="0" w:lastRow="0" w:firstColumn="0" w:lastColumn="0" w:noHBand="0" w:noVBand="0"/>
        </w:tblPrEx>
        <w:trPr>
          <w:gridAfter w:val="1"/>
          <w:wAfter w:w="31" w:type="pct"/>
          <w:trHeight w:val="768"/>
        </w:trPr>
        <w:tc>
          <w:tcPr>
            <w:tcW w:w="4969" w:type="pct"/>
            <w:gridSpan w:val="3"/>
          </w:tcPr>
          <w:p w:rsidR="00161123" w:rsidRPr="00BC38BA" w:rsidRDefault="00450137" w:rsidP="00F67072">
            <w:pPr>
              <w:spacing w:line="480" w:lineRule="auto"/>
              <w:jc w:val="center"/>
              <w:rPr>
                <w:rFonts w:ascii="標楷體" w:eastAsia="標楷體" w:hAnsi="標楷體"/>
                <w:b/>
                <w:bCs/>
              </w:rPr>
            </w:pPr>
            <w:r>
              <w:rPr>
                <w:rFonts w:ascii="標楷體" w:eastAsia="標楷體" w:hAnsi="標楷體"/>
                <w:noProof/>
                <w:sz w:val="20"/>
              </w:rPr>
              <w:lastRenderedPageBreak/>
              <mc:AlternateContent>
                <mc:Choice Requires="wps">
                  <w:drawing>
                    <wp:anchor distT="0" distB="0" distL="114300" distR="114300" simplePos="0" relativeHeight="251652096" behindDoc="1" locked="0" layoutInCell="1" allowOverlap="1" wp14:anchorId="3EC261DB" wp14:editId="4230F283">
                      <wp:simplePos x="0" y="0"/>
                      <wp:positionH relativeFrom="column">
                        <wp:posOffset>-13970</wp:posOffset>
                      </wp:positionH>
                      <wp:positionV relativeFrom="paragraph">
                        <wp:posOffset>-6350</wp:posOffset>
                      </wp:positionV>
                      <wp:extent cx="6057900" cy="502285"/>
                      <wp:effectExtent l="1270" t="0" r="0" b="3175"/>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E82" w:rsidRDefault="00CA2E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1pt;margin-top:-.5pt;width:477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7zgIAANQFAAAOAAAAZHJzL2Uyb0RvYy54bWysVMlu2zAQvRfoPxC8O1oq2ZZgOUjiuCiQ&#10;LkBS9ExLlESUIlmStpwW/fcOKdlRmxyKojJAc5vhvDdvZnV57Dg6UG2YFAWOLkKMqChlxURT4M8P&#10;29kSI2OJqAiXghb4kRp8uX79atWrnMaylbyiGoETYfJeFbi1VuVBYMqWdsRcSEUFHNZSd8TCUjdB&#10;pUkP3jsexGE4D3qpK6VlSY2B3c1wiNfef13T0n6sa0Mt4gWG2KwftR93bgzWK5I3mqiWlWMY5B+i&#10;6AgT8OjZ1YZYgvaaPXPVsVJLI2t7UcoukHXNSuoxAJoo/APNfUsU9ViAHKPONJn/57b8cPikEasK&#10;DIkSpIMUPdCjRdfyiNI3jp5emRxu3Su4Z4+wD2n2UI26k+VXg4S8aYlo6JXWsm8pqSC8yFkGE9PB&#10;j3FOdv17WcE7ZG+ld3Ssdee4AzYQeIc0PZ5T42IpYXMeposshKMSztIwjpepf4LkJ2uljX1LZYfc&#10;pMAaUu+9k8OdsS4akp+ujImqtoxzpKX9wmzruT5BawzY+FsGKQl4wgGxbnY3XKMDATXdbtxvDKIx&#10;09tpCN9zi63/XrSInMULJs8eARTn4DgTCIgHPpLBHJmScAq5HOj3avQgXXBcuFFIB3qgY9gBhkew&#10;jmuv2R9ZFCfhdZzNtvPlYpZsk3SWLcLlLIyy62weJlmy2f50AKMkb1lVUXHHBD3VT5T8nT7HSh6U&#10;7ysI9QXO0jgduJOcnaM3U+o9Wl+7QIeZXuuYhXbCWQd6HjgBqCR3qrwVlZ9bwvgwD34P30sEODj9&#10;e1a8hp1sBwHb4+7oqyV2aXT63snqEUQNKvLKhVYIk1bq7xj10FYKbL7tiaYY8XcChJRFSeL6kF8k&#10;6SKGhZ6e7KYnRJTgqsAWQ6Ld9MYOvWuvNGtaeGkoRSGvoJhq5nX+FNVYgtA6PKaxzbneNF37W0/N&#10;eP0LAAD//wMAUEsDBBQABgAIAAAAIQA++FtA3wAAAAgBAAAPAAAAZHJzL2Rvd25yZXYueG1sTI9B&#10;S8NAEIXvgv9hGcFbu0lAG2M2pVSqaItgW/C6zY5JaHY2Zrdp/PeOp3oaHu/x5n35fLStGLD3jSMF&#10;8TQCgVQ601ClYL9bTVIQPmgyunWECn7Qw7y4vsp1ZtyZPnDYhkpwCflMK6hD6DIpfVmj1X7qOiT2&#10;vlxvdWDZV9L0+szltpVJFN1LqxviD7XucFljedyerILh9eV9vXpDXDzR52a3t+Xs+zlV6vZmXDyC&#10;CDiGSxj+5vN0KHjTwZ3IeNEqmCQJJ/nGjMT+w13MKAcFszQGWeTyP0DxCwAA//8DAFBLAQItABQA&#10;BgAIAAAAIQC2gziS/gAAAOEBAAATAAAAAAAAAAAAAAAAAAAAAABbQ29udGVudF9UeXBlc10ueG1s&#10;UEsBAi0AFAAGAAgAAAAhADj9If/WAAAAlAEAAAsAAAAAAAAAAAAAAAAALwEAAF9yZWxzLy5yZWxz&#10;UEsBAi0AFAAGAAgAAAAhAOqj5PvOAgAA1AUAAA4AAAAAAAAAAAAAAAAALgIAAGRycy9lMm9Eb2Mu&#10;eG1sUEsBAi0AFAAGAAgAAAAhAD74W0DfAAAACAEAAA8AAAAAAAAAAAAAAAAAKAUAAGRycy9kb3du&#10;cmV2LnhtbFBLBQYAAAAABAAEAPMAAAA0BgAAAAA=&#10;" fillcolor="#ededed" stroked="f">
                      <v:fill rotate="t" focus="50%" type="gradient"/>
                      <v:textbox>
                        <w:txbxContent>
                          <w:p w:rsidR="00CA2E82" w:rsidRDefault="00CA2E82"/>
                        </w:txbxContent>
                      </v:textbox>
                    </v:shape>
                  </w:pict>
                </mc:Fallback>
              </mc:AlternateContent>
            </w:r>
            <w:r w:rsidR="00161123" w:rsidRPr="00BC38BA">
              <w:rPr>
                <w:rFonts w:ascii="標楷體" w:eastAsia="標楷體" w:hAnsi="標楷體"/>
                <w:b/>
                <w:bCs/>
              </w:rPr>
              <w:t>公司簡介(公司介紹、歷史沿革、經營理念、</w:t>
            </w:r>
            <w:r w:rsidR="00F67072" w:rsidRPr="00BC38BA">
              <w:rPr>
                <w:rFonts w:ascii="標楷體" w:eastAsia="標楷體" w:hAnsi="標楷體"/>
                <w:b/>
                <w:bCs/>
              </w:rPr>
              <w:t>未來展望</w:t>
            </w:r>
            <w:r w:rsidR="00161123" w:rsidRPr="00BC38BA">
              <w:rPr>
                <w:rFonts w:ascii="標楷體" w:eastAsia="標楷體" w:hAnsi="標楷體"/>
                <w:b/>
                <w:bCs/>
              </w:rPr>
              <w:t>等)</w:t>
            </w:r>
          </w:p>
        </w:tc>
      </w:tr>
      <w:tr w:rsidR="00161123" w:rsidTr="0005586B">
        <w:tblPrEx>
          <w:tblCellMar>
            <w:left w:w="28" w:type="dxa"/>
            <w:right w:w="28" w:type="dxa"/>
          </w:tblCellMar>
          <w:tblLook w:val="0000" w:firstRow="0" w:lastRow="0" w:firstColumn="0" w:lastColumn="0" w:noHBand="0" w:noVBand="0"/>
        </w:tblPrEx>
        <w:trPr>
          <w:gridAfter w:val="1"/>
          <w:wAfter w:w="31" w:type="pct"/>
        </w:trPr>
        <w:tc>
          <w:tcPr>
            <w:tcW w:w="4969" w:type="pct"/>
            <w:gridSpan w:val="3"/>
          </w:tcPr>
          <w:p w:rsidR="00161FE0" w:rsidRPr="00BA261F" w:rsidRDefault="00161FE0" w:rsidP="003979F1">
            <w:pPr>
              <w:pStyle w:val="HTML"/>
              <w:spacing w:line="320" w:lineRule="exact"/>
              <w:ind w:rightChars="63" w:right="151"/>
              <w:jc w:val="both"/>
              <w:rPr>
                <w:rStyle w:val="HTML0"/>
                <w:rFonts w:ascii="Times New Roman" w:eastAsia="標楷體" w:hAnsi="Times New Roman" w:cs="Times New Roman"/>
                <w:sz w:val="24"/>
                <w:szCs w:val="24"/>
              </w:rPr>
            </w:pPr>
            <w:r w:rsidRPr="00BA261F">
              <w:rPr>
                <w:rFonts w:ascii="Times New Roman" w:eastAsia="標楷體" w:hAnsi="Times New Roman" w:cs="Times New Roman"/>
                <w:b/>
                <w:bCs/>
                <w:sz w:val="24"/>
                <w:szCs w:val="24"/>
              </w:rPr>
              <w:t>一、公司介紹</w:t>
            </w:r>
          </w:p>
          <w:p w:rsidR="00B2588C" w:rsidRDefault="00932D14" w:rsidP="00B2588C">
            <w:pPr>
              <w:pStyle w:val="HTML"/>
              <w:spacing w:line="320" w:lineRule="exact"/>
              <w:ind w:leftChars="177" w:left="425" w:rightChars="63" w:right="151" w:firstLineChars="212" w:firstLine="509"/>
              <w:jc w:val="both"/>
              <w:rPr>
                <w:rFonts w:ascii="Times New Roman" w:eastAsia="標楷體" w:hAnsi="Times New Roman" w:cs="Times New Roman"/>
                <w:sz w:val="24"/>
                <w:szCs w:val="24"/>
                <w:lang w:val="zh-TW"/>
              </w:rPr>
            </w:pPr>
            <w:r w:rsidRPr="00932D14">
              <w:rPr>
                <w:rFonts w:ascii="Times New Roman" w:eastAsia="標楷體" w:hAnsi="Times New Roman" w:cs="Times New Roman" w:hint="eastAsia"/>
                <w:sz w:val="24"/>
                <w:szCs w:val="24"/>
                <w:lang w:val="zh-TW"/>
              </w:rPr>
              <w:t>台興電子企業股份有限公司設立於民國</w:t>
            </w:r>
            <w:r w:rsidRPr="00932D14">
              <w:rPr>
                <w:rFonts w:ascii="Times New Roman" w:eastAsia="標楷體" w:hAnsi="Times New Roman" w:cs="Times New Roman" w:hint="eastAsia"/>
                <w:sz w:val="24"/>
                <w:szCs w:val="24"/>
                <w:lang w:val="zh-TW"/>
              </w:rPr>
              <w:t>73</w:t>
            </w:r>
            <w:r w:rsidRPr="00932D14">
              <w:rPr>
                <w:rFonts w:ascii="Times New Roman" w:eastAsia="標楷體" w:hAnsi="Times New Roman" w:cs="Times New Roman" w:hint="eastAsia"/>
                <w:sz w:val="24"/>
                <w:szCs w:val="24"/>
                <w:lang w:val="zh-TW"/>
              </w:rPr>
              <w:t>年</w:t>
            </w:r>
            <w:r w:rsidRPr="00932D14">
              <w:rPr>
                <w:rFonts w:ascii="Times New Roman" w:eastAsia="標楷體" w:hAnsi="Times New Roman" w:cs="Times New Roman" w:hint="eastAsia"/>
                <w:sz w:val="24"/>
                <w:szCs w:val="24"/>
                <w:lang w:val="zh-TW"/>
              </w:rPr>
              <w:t>6</w:t>
            </w:r>
            <w:r w:rsidRPr="00932D14">
              <w:rPr>
                <w:rFonts w:ascii="Times New Roman" w:eastAsia="標楷體" w:hAnsi="Times New Roman" w:cs="Times New Roman" w:hint="eastAsia"/>
                <w:sz w:val="24"/>
                <w:szCs w:val="24"/>
                <w:lang w:val="zh-TW"/>
              </w:rPr>
              <w:t>月</w:t>
            </w:r>
            <w:r w:rsidRPr="00932D14">
              <w:rPr>
                <w:rFonts w:ascii="Times New Roman" w:eastAsia="標楷體" w:hAnsi="Times New Roman" w:cs="Times New Roman" w:hint="eastAsia"/>
                <w:sz w:val="24"/>
                <w:szCs w:val="24"/>
                <w:lang w:val="zh-TW"/>
              </w:rPr>
              <w:t>16</w:t>
            </w:r>
            <w:r w:rsidRPr="00932D14">
              <w:rPr>
                <w:rFonts w:ascii="Times New Roman" w:eastAsia="標楷體" w:hAnsi="Times New Roman" w:cs="Times New Roman" w:hint="eastAsia"/>
                <w:sz w:val="24"/>
                <w:szCs w:val="24"/>
                <w:lang w:val="zh-TW"/>
              </w:rPr>
              <w:t>日，總公司設立於新北市新北產業園區。台興公司主要從事電磁鐵、電磁閥、繼電器之製造及銷售、石英晶體銷售等業務，產品主要應用在工業機械、交通運輸、網通家電、智慧電表、</w:t>
            </w:r>
            <w:r w:rsidRPr="00932D14">
              <w:rPr>
                <w:rFonts w:ascii="Times New Roman" w:eastAsia="標楷體" w:hAnsi="Times New Roman" w:cs="Times New Roman" w:hint="eastAsia"/>
                <w:sz w:val="24"/>
                <w:szCs w:val="24"/>
                <w:lang w:val="zh-TW"/>
              </w:rPr>
              <w:t>KIOSK</w:t>
            </w:r>
            <w:r w:rsidRPr="00932D14">
              <w:rPr>
                <w:rFonts w:ascii="Times New Roman" w:eastAsia="標楷體" w:hAnsi="Times New Roman" w:cs="Times New Roman" w:hint="eastAsia"/>
                <w:sz w:val="24"/>
                <w:szCs w:val="24"/>
                <w:lang w:val="zh-TW"/>
              </w:rPr>
              <w:t>、水資源、工業設備領域等產業</w:t>
            </w:r>
            <w:r w:rsidR="005B5CD9">
              <w:rPr>
                <w:rFonts w:ascii="Times New Roman" w:eastAsia="標楷體" w:hAnsi="Times New Roman" w:cs="Times New Roman" w:hint="eastAsia"/>
                <w:sz w:val="24"/>
                <w:szCs w:val="24"/>
                <w:lang w:val="zh-TW"/>
              </w:rPr>
              <w:t>，</w:t>
            </w:r>
            <w:r w:rsidR="009C29B0" w:rsidRPr="009C29B0">
              <w:rPr>
                <w:rFonts w:ascii="Times New Roman" w:eastAsia="標楷體" w:hAnsi="Times New Roman" w:cs="Times New Roman"/>
                <w:sz w:val="24"/>
                <w:szCs w:val="24"/>
                <w:lang w:val="zh-TW"/>
              </w:rPr>
              <w:t>截至民國</w:t>
            </w:r>
            <w:r w:rsidR="009C29B0" w:rsidRPr="009C29B0">
              <w:rPr>
                <w:rFonts w:ascii="Times New Roman" w:eastAsia="標楷體" w:hAnsi="Times New Roman" w:cs="Times New Roman"/>
                <w:sz w:val="24"/>
                <w:szCs w:val="24"/>
                <w:lang w:val="zh-TW"/>
              </w:rPr>
              <w:t>104</w:t>
            </w:r>
            <w:r w:rsidR="009C29B0" w:rsidRPr="009C29B0">
              <w:rPr>
                <w:rFonts w:ascii="Times New Roman" w:eastAsia="標楷體" w:hAnsi="Times New Roman" w:cs="Times New Roman"/>
                <w:sz w:val="24"/>
                <w:szCs w:val="24"/>
                <w:lang w:val="zh-TW"/>
              </w:rPr>
              <w:t>年</w:t>
            </w:r>
            <w:r w:rsidR="009C29B0" w:rsidRPr="009C29B0">
              <w:rPr>
                <w:rFonts w:ascii="Times New Roman" w:eastAsia="標楷體" w:hAnsi="Times New Roman" w:cs="Times New Roman" w:hint="eastAsia"/>
                <w:sz w:val="24"/>
                <w:szCs w:val="24"/>
                <w:lang w:val="zh-TW"/>
              </w:rPr>
              <w:t>7</w:t>
            </w:r>
            <w:r w:rsidR="009C29B0" w:rsidRPr="009C29B0">
              <w:rPr>
                <w:rFonts w:ascii="Times New Roman" w:eastAsia="標楷體" w:hAnsi="Times New Roman" w:cs="Times New Roman"/>
                <w:sz w:val="24"/>
                <w:szCs w:val="24"/>
                <w:lang w:val="zh-TW"/>
              </w:rPr>
              <w:t>月底止，實收資本額為新台幣</w:t>
            </w:r>
            <w:r w:rsidR="009C29B0" w:rsidRPr="009C29B0">
              <w:rPr>
                <w:rFonts w:ascii="Times New Roman" w:eastAsia="標楷體" w:hAnsi="Times New Roman" w:cs="Times New Roman"/>
                <w:sz w:val="24"/>
                <w:szCs w:val="24"/>
                <w:lang w:val="zh-TW"/>
              </w:rPr>
              <w:t>2</w:t>
            </w:r>
            <w:r w:rsidR="009C29B0" w:rsidRPr="009C29B0">
              <w:rPr>
                <w:rFonts w:ascii="Times New Roman" w:eastAsia="標楷體" w:hAnsi="Times New Roman" w:cs="Times New Roman" w:hint="eastAsia"/>
                <w:sz w:val="24"/>
                <w:szCs w:val="24"/>
                <w:lang w:val="zh-TW"/>
              </w:rPr>
              <w:t>0</w:t>
            </w:r>
            <w:r w:rsidR="009C29B0" w:rsidRPr="009C29B0">
              <w:rPr>
                <w:rFonts w:ascii="Times New Roman" w:eastAsia="標楷體" w:hAnsi="Times New Roman" w:cs="Times New Roman"/>
                <w:sz w:val="24"/>
                <w:szCs w:val="24"/>
                <w:lang w:val="zh-TW"/>
              </w:rPr>
              <w:t>0,000,000</w:t>
            </w:r>
            <w:r w:rsidR="009C29B0" w:rsidRPr="009C29B0">
              <w:rPr>
                <w:rFonts w:ascii="Times New Roman" w:eastAsia="標楷體" w:hAnsi="Times New Roman" w:cs="Times New Roman"/>
                <w:sz w:val="24"/>
                <w:szCs w:val="24"/>
                <w:lang w:val="zh-TW"/>
              </w:rPr>
              <w:t>元。</w:t>
            </w:r>
          </w:p>
          <w:p w:rsidR="00B2588C" w:rsidRDefault="00B2588C" w:rsidP="00B2588C">
            <w:pPr>
              <w:pStyle w:val="HTML"/>
              <w:spacing w:line="320" w:lineRule="exact"/>
              <w:ind w:leftChars="177" w:left="425" w:rightChars="63" w:right="151" w:firstLineChars="212" w:firstLine="509"/>
              <w:jc w:val="both"/>
              <w:rPr>
                <w:rFonts w:ascii="Times New Roman" w:eastAsia="標楷體" w:hAnsi="Times New Roman" w:cs="Times New Roman"/>
                <w:sz w:val="24"/>
                <w:szCs w:val="24"/>
                <w:lang w:val="zh-TW"/>
              </w:rPr>
            </w:pPr>
          </w:p>
          <w:p w:rsidR="00161FE0" w:rsidRPr="00BA261F" w:rsidRDefault="00161FE0" w:rsidP="003979F1">
            <w:pPr>
              <w:pStyle w:val="HTML"/>
              <w:spacing w:line="320" w:lineRule="exact"/>
              <w:ind w:rightChars="63" w:right="151"/>
              <w:jc w:val="both"/>
              <w:rPr>
                <w:rFonts w:ascii="Times New Roman" w:eastAsia="標楷體" w:hAnsi="Times New Roman" w:cs="Times New Roman"/>
                <w:b/>
                <w:bCs/>
                <w:sz w:val="24"/>
                <w:szCs w:val="24"/>
              </w:rPr>
            </w:pPr>
            <w:r w:rsidRPr="00BA261F">
              <w:rPr>
                <w:rFonts w:ascii="Times New Roman" w:eastAsia="標楷體" w:hAnsi="Times New Roman" w:cs="Times New Roman"/>
                <w:b/>
                <w:bCs/>
                <w:sz w:val="24"/>
                <w:szCs w:val="24"/>
              </w:rPr>
              <w:t>二、歷史沿革</w:t>
            </w:r>
          </w:p>
          <w:tbl>
            <w:tblPr>
              <w:tblW w:w="9072" w:type="dxa"/>
              <w:tblInd w:w="5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124"/>
              <w:gridCol w:w="7948"/>
            </w:tblGrid>
            <w:tr w:rsidR="00B2588C" w:rsidRPr="00B2588C" w:rsidTr="00B2588C">
              <w:tc>
                <w:tcPr>
                  <w:tcW w:w="1124" w:type="dxa"/>
                  <w:shd w:val="clear" w:color="auto" w:fill="auto"/>
                  <w:vAlign w:val="center"/>
                </w:tcPr>
                <w:p w:rsidR="00B2588C" w:rsidRPr="00B2588C" w:rsidRDefault="00B2588C" w:rsidP="00217D03">
                  <w:pPr>
                    <w:pStyle w:val="HTML"/>
                    <w:spacing w:line="320" w:lineRule="exact"/>
                    <w:ind w:rightChars="63" w:right="151"/>
                    <w:jc w:val="center"/>
                    <w:rPr>
                      <w:rFonts w:ascii="Times New Roman" w:eastAsia="標楷體" w:hAnsi="Times New Roman" w:cs="Times New Roman"/>
                      <w:sz w:val="24"/>
                      <w:szCs w:val="24"/>
                    </w:rPr>
                  </w:pPr>
                  <w:r w:rsidRPr="00B2588C">
                    <w:rPr>
                      <w:rFonts w:ascii="Times New Roman" w:eastAsia="標楷體" w:hAnsi="Times New Roman" w:cs="Times New Roman"/>
                      <w:sz w:val="24"/>
                      <w:szCs w:val="24"/>
                    </w:rPr>
                    <w:t>時間</w:t>
                  </w:r>
                </w:p>
              </w:tc>
              <w:tc>
                <w:tcPr>
                  <w:tcW w:w="7948" w:type="dxa"/>
                  <w:shd w:val="clear" w:color="auto" w:fill="auto"/>
                </w:tcPr>
                <w:p w:rsidR="00B2588C" w:rsidRPr="00B2588C" w:rsidRDefault="00B2588C" w:rsidP="00217D03">
                  <w:pPr>
                    <w:rPr>
                      <w:rFonts w:eastAsia="標楷體"/>
                      <w:kern w:val="3"/>
                    </w:rPr>
                  </w:pPr>
                  <w:r w:rsidRPr="00B2588C">
                    <w:rPr>
                      <w:rFonts w:eastAsia="標楷體"/>
                    </w:rPr>
                    <w:t>重要紀事</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t>73</w:t>
                  </w:r>
                  <w:r w:rsidRPr="00B2588C">
                    <w:rPr>
                      <w:rFonts w:eastAsia="標楷體"/>
                    </w:rPr>
                    <w:t>年</w:t>
                  </w:r>
                </w:p>
              </w:tc>
              <w:tc>
                <w:tcPr>
                  <w:tcW w:w="7948" w:type="dxa"/>
                  <w:shd w:val="clear" w:color="auto" w:fill="auto"/>
                </w:tcPr>
                <w:p w:rsidR="00B2588C" w:rsidRPr="00B2588C" w:rsidRDefault="00B2588C" w:rsidP="00217D03">
                  <w:pPr>
                    <w:rPr>
                      <w:rFonts w:eastAsia="標楷體"/>
                    </w:rPr>
                  </w:pPr>
                  <w:r w:rsidRPr="00B2588C">
                    <w:rPr>
                      <w:rFonts w:eastAsia="標楷體"/>
                      <w:kern w:val="3"/>
                    </w:rPr>
                    <w:t>本公司前身台興電子企業有限公司創立</w:t>
                  </w:r>
                  <w:r w:rsidRPr="00B2588C">
                    <w:rPr>
                      <w:rFonts w:eastAsia="標楷體"/>
                      <w:spacing w:val="20"/>
                    </w:rPr>
                    <w:t>，</w:t>
                  </w:r>
                  <w:r w:rsidRPr="00B2588C">
                    <w:rPr>
                      <w:rFonts w:eastAsia="標楷體"/>
                      <w:kern w:val="3"/>
                    </w:rPr>
                    <w:t>初期經營進出口貿易。</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t>78</w:t>
                  </w:r>
                  <w:r w:rsidRPr="00B2588C">
                    <w:rPr>
                      <w:rFonts w:eastAsia="標楷體"/>
                    </w:rPr>
                    <w:t>年</w:t>
                  </w:r>
                </w:p>
              </w:tc>
              <w:tc>
                <w:tcPr>
                  <w:tcW w:w="7948" w:type="dxa"/>
                  <w:shd w:val="clear" w:color="auto" w:fill="auto"/>
                </w:tcPr>
                <w:p w:rsidR="00B2588C" w:rsidRPr="00B2588C" w:rsidRDefault="00B2588C" w:rsidP="00217D03">
                  <w:pPr>
                    <w:rPr>
                      <w:rFonts w:eastAsia="標楷體"/>
                    </w:rPr>
                  </w:pPr>
                  <w:r w:rsidRPr="00B2588C">
                    <w:rPr>
                      <w:rFonts w:eastAsia="標楷體"/>
                    </w:rPr>
                    <w:t>公司變更為股份有限公司</w:t>
                  </w:r>
                  <w:r w:rsidRPr="00B2588C">
                    <w:rPr>
                      <w:rFonts w:eastAsia="標楷體"/>
                      <w:spacing w:val="20"/>
                    </w:rPr>
                    <w:t>，</w:t>
                  </w:r>
                  <w:r w:rsidRPr="00B2588C">
                    <w:rPr>
                      <w:rFonts w:eastAsia="標楷體"/>
                    </w:rPr>
                    <w:t>資本額</w:t>
                  </w:r>
                  <w:r w:rsidRPr="00B2588C">
                    <w:rPr>
                      <w:rFonts w:eastAsia="標楷體"/>
                    </w:rPr>
                    <w:t>14,200</w:t>
                  </w:r>
                  <w:r w:rsidRPr="00B2588C">
                    <w:rPr>
                      <w:rFonts w:eastAsia="標楷體"/>
                    </w:rPr>
                    <w:t>仟元；台興電子企業股份有限公司正式誕生。</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t>82</w:t>
                  </w:r>
                  <w:r w:rsidRPr="00B2588C">
                    <w:rPr>
                      <w:rFonts w:eastAsia="標楷體"/>
                    </w:rPr>
                    <w:t>年</w:t>
                  </w:r>
                </w:p>
              </w:tc>
              <w:tc>
                <w:tcPr>
                  <w:tcW w:w="7948" w:type="dxa"/>
                  <w:shd w:val="clear" w:color="auto" w:fill="auto"/>
                </w:tcPr>
                <w:p w:rsidR="00B2588C" w:rsidRPr="00B2588C" w:rsidRDefault="00B2588C" w:rsidP="00217D03">
                  <w:pPr>
                    <w:rPr>
                      <w:rFonts w:eastAsia="標楷體"/>
                    </w:rPr>
                  </w:pPr>
                  <w:r w:rsidRPr="00B2588C">
                    <w:rPr>
                      <w:rFonts w:eastAsia="標楷體"/>
                    </w:rPr>
                    <w:t>現金增資</w:t>
                  </w:r>
                  <w:r w:rsidRPr="00B2588C">
                    <w:rPr>
                      <w:rFonts w:eastAsia="標楷體"/>
                    </w:rPr>
                    <w:t>14,800</w:t>
                  </w:r>
                  <w:r w:rsidRPr="00B2588C">
                    <w:rPr>
                      <w:rFonts w:eastAsia="標楷體"/>
                    </w:rPr>
                    <w:t>仟元</w:t>
                  </w:r>
                  <w:r w:rsidRPr="00B2588C">
                    <w:rPr>
                      <w:rFonts w:eastAsia="標楷體"/>
                      <w:spacing w:val="20"/>
                    </w:rPr>
                    <w:t>，</w:t>
                  </w:r>
                  <w:r w:rsidRPr="00B2588C">
                    <w:rPr>
                      <w:rFonts w:eastAsia="標楷體"/>
                    </w:rPr>
                    <w:t>增資後資本額達</w:t>
                  </w:r>
                  <w:r w:rsidRPr="00B2588C">
                    <w:rPr>
                      <w:rFonts w:eastAsia="標楷體"/>
                    </w:rPr>
                    <w:t xml:space="preserve"> 29,000</w:t>
                  </w:r>
                  <w:r w:rsidRPr="00B2588C">
                    <w:rPr>
                      <w:rFonts w:eastAsia="標楷體"/>
                    </w:rPr>
                    <w:t>仟元。</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t>85</w:t>
                  </w:r>
                  <w:r w:rsidRPr="00B2588C">
                    <w:rPr>
                      <w:rFonts w:eastAsia="標楷體"/>
                    </w:rPr>
                    <w:t>年</w:t>
                  </w:r>
                </w:p>
              </w:tc>
              <w:tc>
                <w:tcPr>
                  <w:tcW w:w="7948" w:type="dxa"/>
                  <w:shd w:val="clear" w:color="auto" w:fill="auto"/>
                </w:tcPr>
                <w:p w:rsidR="00B2588C" w:rsidRPr="00B2588C" w:rsidRDefault="00B2588C" w:rsidP="00217D03">
                  <w:pPr>
                    <w:rPr>
                      <w:rFonts w:eastAsia="標楷體"/>
                    </w:rPr>
                  </w:pPr>
                  <w:r w:rsidRPr="00B2588C">
                    <w:rPr>
                      <w:rFonts w:eastAsia="標楷體"/>
                    </w:rPr>
                    <w:t>現金增資</w:t>
                  </w:r>
                  <w:r w:rsidRPr="00B2588C">
                    <w:rPr>
                      <w:rFonts w:eastAsia="標楷體"/>
                    </w:rPr>
                    <w:t>76,252</w:t>
                  </w:r>
                  <w:r w:rsidRPr="00B2588C">
                    <w:rPr>
                      <w:rFonts w:eastAsia="標楷體"/>
                    </w:rPr>
                    <w:t>仟元</w:t>
                  </w:r>
                  <w:r w:rsidRPr="00B2588C">
                    <w:rPr>
                      <w:rFonts w:eastAsia="標楷體"/>
                      <w:spacing w:val="20"/>
                    </w:rPr>
                    <w:t>，</w:t>
                  </w:r>
                  <w:r w:rsidRPr="00B2588C">
                    <w:rPr>
                      <w:rFonts w:eastAsia="標楷體"/>
                    </w:rPr>
                    <w:t>增資後資本額達</w:t>
                  </w:r>
                  <w:r w:rsidRPr="00B2588C">
                    <w:rPr>
                      <w:rFonts w:eastAsia="標楷體"/>
                    </w:rPr>
                    <w:t>105,252</w:t>
                  </w:r>
                  <w:r w:rsidRPr="00B2588C">
                    <w:rPr>
                      <w:rFonts w:eastAsia="標楷體"/>
                    </w:rPr>
                    <w:t>仟元。</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t>90</w:t>
                  </w:r>
                  <w:r w:rsidRPr="00B2588C">
                    <w:rPr>
                      <w:rFonts w:eastAsia="標楷體"/>
                    </w:rPr>
                    <w:t>年</w:t>
                  </w:r>
                </w:p>
              </w:tc>
              <w:tc>
                <w:tcPr>
                  <w:tcW w:w="7948" w:type="dxa"/>
                  <w:shd w:val="clear" w:color="auto" w:fill="auto"/>
                </w:tcPr>
                <w:p w:rsidR="00B2588C" w:rsidRPr="00B2588C" w:rsidRDefault="00B2588C" w:rsidP="00217D03">
                  <w:pPr>
                    <w:rPr>
                      <w:rFonts w:eastAsia="標楷體"/>
                    </w:rPr>
                  </w:pPr>
                  <w:r w:rsidRPr="00B2588C">
                    <w:rPr>
                      <w:rFonts w:eastAsia="標楷體"/>
                    </w:rPr>
                    <w:t>合併良興電子企業股份有限公司。</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t>91</w:t>
                  </w:r>
                  <w:r w:rsidRPr="00B2588C">
                    <w:rPr>
                      <w:rFonts w:eastAsia="標楷體"/>
                    </w:rPr>
                    <w:t>年</w:t>
                  </w:r>
                </w:p>
              </w:tc>
              <w:tc>
                <w:tcPr>
                  <w:tcW w:w="7948" w:type="dxa"/>
                  <w:shd w:val="clear" w:color="auto" w:fill="auto"/>
                </w:tcPr>
                <w:p w:rsidR="00B2588C" w:rsidRPr="00B2588C" w:rsidRDefault="00B2588C" w:rsidP="00217D03">
                  <w:pPr>
                    <w:rPr>
                      <w:rFonts w:eastAsia="標楷體"/>
                    </w:rPr>
                  </w:pPr>
                  <w:r w:rsidRPr="00B2588C">
                    <w:rPr>
                      <w:rFonts w:eastAsia="標楷體"/>
                    </w:rPr>
                    <w:t>現金增資</w:t>
                  </w:r>
                  <w:r w:rsidRPr="00B2588C">
                    <w:rPr>
                      <w:rFonts w:eastAsia="標楷體"/>
                    </w:rPr>
                    <w:t>30,116</w:t>
                  </w:r>
                  <w:r w:rsidRPr="00B2588C">
                    <w:rPr>
                      <w:rFonts w:eastAsia="標楷體"/>
                    </w:rPr>
                    <w:t>仟元，增資後資本額達</w:t>
                  </w:r>
                  <w:r w:rsidRPr="00B2588C">
                    <w:rPr>
                      <w:rFonts w:eastAsia="標楷體"/>
                    </w:rPr>
                    <w:t>135,378</w:t>
                  </w:r>
                  <w:r w:rsidRPr="00B2588C">
                    <w:rPr>
                      <w:rFonts w:eastAsia="標楷體"/>
                    </w:rPr>
                    <w:t>仟元。</w:t>
                  </w:r>
                </w:p>
                <w:p w:rsidR="00B2588C" w:rsidRPr="00B2588C" w:rsidRDefault="00B2588C" w:rsidP="00217D03">
                  <w:pPr>
                    <w:rPr>
                      <w:rFonts w:eastAsia="標楷體"/>
                    </w:rPr>
                  </w:pPr>
                  <w:r w:rsidRPr="00B2588C">
                    <w:rPr>
                      <w:rFonts w:eastAsia="標楷體"/>
                    </w:rPr>
                    <w:t>購</w:t>
                  </w:r>
                  <w:proofErr w:type="gramStart"/>
                  <w:r w:rsidRPr="00B2588C">
                    <w:rPr>
                      <w:rFonts w:eastAsia="標楷體"/>
                    </w:rPr>
                    <w:t>入</w:t>
                  </w:r>
                  <w:r w:rsidRPr="00B2588C">
                    <w:rPr>
                      <w:rFonts w:eastAsia="標楷體"/>
                      <w:bCs/>
                    </w:rPr>
                    <w:t>笙茂</w:t>
                  </w:r>
                  <w:proofErr w:type="gramEnd"/>
                  <w:r w:rsidRPr="00B2588C">
                    <w:rPr>
                      <w:rFonts w:eastAsia="標楷體"/>
                      <w:bCs/>
                    </w:rPr>
                    <w:t>電子，</w:t>
                  </w:r>
                  <w:r w:rsidRPr="00B2588C">
                    <w:rPr>
                      <w:rFonts w:eastAsia="標楷體"/>
                    </w:rPr>
                    <w:t>成為專業電磁鐵開發設計製造公司。</w:t>
                  </w:r>
                </w:p>
                <w:p w:rsidR="00B2588C" w:rsidRPr="00B2588C" w:rsidRDefault="00B2588C" w:rsidP="00217D03">
                  <w:pPr>
                    <w:rPr>
                      <w:rFonts w:eastAsia="標楷體"/>
                    </w:rPr>
                  </w:pPr>
                  <w:r w:rsidRPr="00B2588C">
                    <w:rPr>
                      <w:rFonts w:eastAsia="標楷體"/>
                    </w:rPr>
                    <w:t>溢價增資</w:t>
                  </w:r>
                  <w:r w:rsidRPr="00B2588C">
                    <w:rPr>
                      <w:rFonts w:eastAsia="標楷體"/>
                    </w:rPr>
                    <w:t>24,622</w:t>
                  </w:r>
                  <w:r w:rsidRPr="00B2588C">
                    <w:rPr>
                      <w:rFonts w:eastAsia="標楷體"/>
                    </w:rPr>
                    <w:t>仟元，增資後資本額達</w:t>
                  </w:r>
                  <w:r w:rsidRPr="00B2588C">
                    <w:rPr>
                      <w:rFonts w:eastAsia="標楷體"/>
                    </w:rPr>
                    <w:t>160,000</w:t>
                  </w:r>
                  <w:r w:rsidRPr="00B2588C">
                    <w:rPr>
                      <w:rFonts w:eastAsia="標楷體"/>
                    </w:rPr>
                    <w:t>仟元；成為結合「研發製造、進出口貿易、門市銷售通路」多元化的企業。</w:t>
                  </w:r>
                </w:p>
                <w:p w:rsidR="00B2588C" w:rsidRPr="00B2588C" w:rsidRDefault="00B2588C" w:rsidP="00217D03">
                  <w:pPr>
                    <w:rPr>
                      <w:rFonts w:eastAsia="標楷體"/>
                    </w:rPr>
                  </w:pPr>
                  <w:r w:rsidRPr="00B2588C">
                    <w:rPr>
                      <w:rFonts w:eastAsia="標楷體"/>
                    </w:rPr>
                    <w:t>設立寧波工廠為生產基地；透過子公司</w:t>
                  </w:r>
                  <w:r w:rsidRPr="00B2588C">
                    <w:rPr>
                      <w:rFonts w:eastAsia="標楷體"/>
                    </w:rPr>
                    <w:t>TSE INTERNATIONAL CO.,LTD.</w:t>
                  </w:r>
                  <w:r w:rsidRPr="00B2588C">
                    <w:rPr>
                      <w:rFonts w:eastAsia="標楷體"/>
                    </w:rPr>
                    <w:t>持有</w:t>
                  </w:r>
                  <w:proofErr w:type="gramStart"/>
                  <w:r w:rsidRPr="00B2588C">
                    <w:rPr>
                      <w:rFonts w:eastAsia="標楷體"/>
                    </w:rPr>
                    <w:t>寧波興茂電子</w:t>
                  </w:r>
                  <w:proofErr w:type="gramEnd"/>
                  <w:r w:rsidRPr="00B2588C">
                    <w:rPr>
                      <w:rFonts w:eastAsia="標楷體"/>
                    </w:rPr>
                    <w:t>科技有限公司</w:t>
                  </w:r>
                  <w:r w:rsidRPr="00B2588C">
                    <w:rPr>
                      <w:rFonts w:eastAsia="標楷體"/>
                    </w:rPr>
                    <w:t>100%</w:t>
                  </w:r>
                  <w:r w:rsidRPr="00B2588C">
                    <w:rPr>
                      <w:rFonts w:eastAsia="標楷體"/>
                    </w:rPr>
                    <w:t>之股權，投資金額合計美金</w:t>
                  </w:r>
                  <w:r w:rsidRPr="00B2588C">
                    <w:rPr>
                      <w:rFonts w:eastAsia="標楷體"/>
                    </w:rPr>
                    <w:t>1,050,000</w:t>
                  </w:r>
                  <w:r w:rsidRPr="00B2588C">
                    <w:rPr>
                      <w:rFonts w:eastAsia="標楷體"/>
                    </w:rPr>
                    <w:t>元。</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t>92</w:t>
                  </w:r>
                  <w:r w:rsidRPr="00B2588C">
                    <w:rPr>
                      <w:rFonts w:eastAsia="標楷體"/>
                    </w:rPr>
                    <w:t>年</w:t>
                  </w:r>
                </w:p>
              </w:tc>
              <w:tc>
                <w:tcPr>
                  <w:tcW w:w="7948" w:type="dxa"/>
                  <w:shd w:val="clear" w:color="auto" w:fill="auto"/>
                </w:tcPr>
                <w:p w:rsidR="00B2588C" w:rsidRPr="00B2588C" w:rsidRDefault="00B2588C" w:rsidP="00217D03">
                  <w:pPr>
                    <w:rPr>
                      <w:rFonts w:eastAsia="標楷體"/>
                    </w:rPr>
                  </w:pPr>
                  <w:r w:rsidRPr="00B2588C">
                    <w:rPr>
                      <w:rFonts w:eastAsia="標楷體"/>
                    </w:rPr>
                    <w:t>盈轉增資</w:t>
                  </w:r>
                  <w:r w:rsidRPr="00B2588C">
                    <w:rPr>
                      <w:rFonts w:eastAsia="標楷體"/>
                    </w:rPr>
                    <w:t>8,941</w:t>
                  </w:r>
                  <w:r w:rsidRPr="00B2588C">
                    <w:rPr>
                      <w:rFonts w:eastAsia="標楷體"/>
                    </w:rPr>
                    <w:t>仟元，增資後資本額達</w:t>
                  </w:r>
                  <w:r w:rsidRPr="00B2588C">
                    <w:rPr>
                      <w:rFonts w:eastAsia="標楷體"/>
                    </w:rPr>
                    <w:t>168,941</w:t>
                  </w:r>
                  <w:r w:rsidRPr="00B2588C">
                    <w:rPr>
                      <w:rFonts w:eastAsia="標楷體"/>
                    </w:rPr>
                    <w:t>仟元。</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t>93</w:t>
                  </w:r>
                  <w:r w:rsidRPr="00B2588C">
                    <w:rPr>
                      <w:rFonts w:eastAsia="標楷體"/>
                    </w:rPr>
                    <w:t>年</w:t>
                  </w:r>
                </w:p>
              </w:tc>
              <w:tc>
                <w:tcPr>
                  <w:tcW w:w="7948" w:type="dxa"/>
                  <w:shd w:val="clear" w:color="auto" w:fill="auto"/>
                </w:tcPr>
                <w:p w:rsidR="00B2588C" w:rsidRPr="00B2588C" w:rsidRDefault="00B2588C" w:rsidP="00217D03">
                  <w:pPr>
                    <w:rPr>
                      <w:rFonts w:eastAsia="標楷體"/>
                    </w:rPr>
                  </w:pPr>
                  <w:r w:rsidRPr="00B2588C">
                    <w:rPr>
                      <w:rFonts w:eastAsia="標楷體"/>
                    </w:rPr>
                    <w:t>溢價增資</w:t>
                  </w:r>
                  <w:r w:rsidRPr="00B2588C">
                    <w:rPr>
                      <w:rFonts w:eastAsia="標楷體"/>
                    </w:rPr>
                    <w:t>40,000</w:t>
                  </w:r>
                  <w:r w:rsidRPr="00B2588C">
                    <w:rPr>
                      <w:rFonts w:eastAsia="標楷體"/>
                    </w:rPr>
                    <w:t>仟元，增資後資本額達</w:t>
                  </w:r>
                  <w:r w:rsidRPr="00B2588C">
                    <w:rPr>
                      <w:rFonts w:eastAsia="標楷體"/>
                    </w:rPr>
                    <w:t>208,941</w:t>
                  </w:r>
                  <w:r w:rsidRPr="00B2588C">
                    <w:rPr>
                      <w:rFonts w:eastAsia="標楷體"/>
                    </w:rPr>
                    <w:t>仟元。</w:t>
                  </w:r>
                </w:p>
                <w:p w:rsidR="00B2588C" w:rsidRPr="00B2588C" w:rsidRDefault="00B2588C" w:rsidP="00217D03">
                  <w:pPr>
                    <w:rPr>
                      <w:rFonts w:eastAsia="標楷體"/>
                    </w:rPr>
                  </w:pPr>
                  <w:r w:rsidRPr="00B2588C">
                    <w:rPr>
                      <w:rFonts w:eastAsia="標楷體"/>
                    </w:rPr>
                    <w:t>首次辦理股票公開發行成功。</w:t>
                  </w:r>
                  <w:r w:rsidRPr="00B2588C">
                    <w:rPr>
                      <w:rFonts w:eastAsia="標楷體"/>
                    </w:rPr>
                    <w:t>(</w:t>
                  </w:r>
                  <w:r w:rsidRPr="00B2588C">
                    <w:rPr>
                      <w:rFonts w:eastAsia="標楷體"/>
                    </w:rPr>
                    <w:t>股票代號：</w:t>
                  </w:r>
                  <w:r w:rsidRPr="00B2588C">
                    <w:rPr>
                      <w:rFonts w:eastAsia="標楷體"/>
                    </w:rPr>
                    <w:t>3426)</w:t>
                  </w:r>
                </w:p>
                <w:p w:rsidR="00B2588C" w:rsidRPr="00B2588C" w:rsidRDefault="00B2588C" w:rsidP="00217D03">
                  <w:pPr>
                    <w:rPr>
                      <w:rFonts w:eastAsia="標楷體"/>
                    </w:rPr>
                  </w:pPr>
                  <w:r w:rsidRPr="00B2588C">
                    <w:rPr>
                      <w:rFonts w:eastAsia="標楷體"/>
                    </w:rPr>
                    <w:t>盈轉增資</w:t>
                  </w:r>
                  <w:r w:rsidRPr="00B2588C">
                    <w:rPr>
                      <w:rFonts w:eastAsia="標楷體"/>
                    </w:rPr>
                    <w:t>12,338</w:t>
                  </w:r>
                  <w:r w:rsidRPr="00B2588C">
                    <w:rPr>
                      <w:rFonts w:eastAsia="標楷體"/>
                    </w:rPr>
                    <w:t>仟元，增資後資本額達</w:t>
                  </w:r>
                  <w:r w:rsidRPr="00B2588C">
                    <w:rPr>
                      <w:rFonts w:eastAsia="標楷體"/>
                    </w:rPr>
                    <w:t>221,279</w:t>
                  </w:r>
                  <w:r w:rsidRPr="00B2588C">
                    <w:rPr>
                      <w:rFonts w:eastAsia="標楷體"/>
                    </w:rPr>
                    <w:t>仟元。</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t>94</w:t>
                  </w:r>
                  <w:r w:rsidRPr="00B2588C">
                    <w:rPr>
                      <w:rFonts w:eastAsia="標楷體"/>
                    </w:rPr>
                    <w:t>年</w:t>
                  </w:r>
                </w:p>
              </w:tc>
              <w:tc>
                <w:tcPr>
                  <w:tcW w:w="7948" w:type="dxa"/>
                  <w:shd w:val="clear" w:color="auto" w:fill="auto"/>
                </w:tcPr>
                <w:p w:rsidR="00B2588C" w:rsidRPr="00B2588C" w:rsidRDefault="00B2588C" w:rsidP="00217D03">
                  <w:pPr>
                    <w:rPr>
                      <w:rFonts w:eastAsia="標楷體"/>
                    </w:rPr>
                  </w:pPr>
                  <w:r w:rsidRPr="00B2588C">
                    <w:rPr>
                      <w:rFonts w:eastAsia="標楷體"/>
                    </w:rPr>
                    <w:t>11</w:t>
                  </w:r>
                  <w:r w:rsidRPr="00B2588C">
                    <w:rPr>
                      <w:rFonts w:eastAsia="標楷體"/>
                    </w:rPr>
                    <w:t>月</w:t>
                  </w:r>
                  <w:r w:rsidRPr="00B2588C">
                    <w:rPr>
                      <w:rFonts w:eastAsia="標楷體"/>
                    </w:rPr>
                    <w:t xml:space="preserve"> </w:t>
                  </w:r>
                  <w:r w:rsidRPr="00B2588C">
                    <w:rPr>
                      <w:rFonts w:eastAsia="標楷體"/>
                    </w:rPr>
                    <w:t>首次通過</w:t>
                  </w:r>
                  <w:r w:rsidRPr="00B2588C">
                    <w:rPr>
                      <w:rFonts w:eastAsia="標楷體"/>
                    </w:rPr>
                    <w:t>ISO 9001</w:t>
                  </w:r>
                  <w:r w:rsidRPr="00B2588C">
                    <w:rPr>
                      <w:rFonts w:eastAsia="標楷體"/>
                    </w:rPr>
                    <w:t>體系認證。</w:t>
                  </w:r>
                </w:p>
                <w:p w:rsidR="00B2588C" w:rsidRPr="00B2588C" w:rsidRDefault="00B2588C" w:rsidP="00217D03">
                  <w:pPr>
                    <w:rPr>
                      <w:rFonts w:eastAsia="標楷體"/>
                    </w:rPr>
                  </w:pPr>
                  <w:r w:rsidRPr="00B2588C">
                    <w:rPr>
                      <w:rFonts w:eastAsia="標楷體"/>
                    </w:rPr>
                    <w:t>垂直整合，成立機械加工中心，掌握關鍵零組件自足能力。</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t>95</w:t>
                  </w:r>
                  <w:r w:rsidRPr="00B2588C">
                    <w:rPr>
                      <w:rFonts w:eastAsia="標楷體"/>
                    </w:rPr>
                    <w:t>年</w:t>
                  </w:r>
                </w:p>
              </w:tc>
              <w:tc>
                <w:tcPr>
                  <w:tcW w:w="7948" w:type="dxa"/>
                  <w:shd w:val="clear" w:color="auto" w:fill="auto"/>
                </w:tcPr>
                <w:p w:rsidR="00B2588C" w:rsidRPr="00B2588C" w:rsidRDefault="00B2588C" w:rsidP="00217D03">
                  <w:pPr>
                    <w:rPr>
                      <w:rFonts w:eastAsia="標楷體"/>
                    </w:rPr>
                  </w:pPr>
                  <w:r w:rsidRPr="00B2588C">
                    <w:rPr>
                      <w:rFonts w:eastAsia="標楷體"/>
                    </w:rPr>
                    <w:t>寧波廠</w:t>
                  </w:r>
                  <w:r w:rsidRPr="00B2588C">
                    <w:rPr>
                      <w:rFonts w:eastAsia="標楷體"/>
                    </w:rPr>
                    <w:t>7</w:t>
                  </w:r>
                  <w:r w:rsidRPr="00B2588C">
                    <w:rPr>
                      <w:rFonts w:eastAsia="標楷體"/>
                    </w:rPr>
                    <w:t>月首次通過</w:t>
                  </w:r>
                  <w:r w:rsidRPr="00B2588C">
                    <w:rPr>
                      <w:rFonts w:eastAsia="標楷體"/>
                    </w:rPr>
                    <w:t>ISO 14001</w:t>
                  </w:r>
                  <w:r w:rsidRPr="00B2588C">
                    <w:rPr>
                      <w:rFonts w:eastAsia="標楷體"/>
                    </w:rPr>
                    <w:t>體系認證。</w:t>
                  </w:r>
                </w:p>
                <w:p w:rsidR="00B2588C" w:rsidRPr="00B2588C" w:rsidRDefault="00B2588C" w:rsidP="00217D03">
                  <w:pPr>
                    <w:rPr>
                      <w:rFonts w:eastAsia="標楷體"/>
                    </w:rPr>
                  </w:pPr>
                  <w:r w:rsidRPr="00B2588C">
                    <w:rPr>
                      <w:rFonts w:eastAsia="標楷體"/>
                    </w:rPr>
                    <w:t>八里廠</w:t>
                  </w:r>
                  <w:r w:rsidRPr="00B2588C">
                    <w:rPr>
                      <w:rFonts w:eastAsia="標楷體"/>
                    </w:rPr>
                    <w:t>11</w:t>
                  </w:r>
                  <w:r w:rsidRPr="00B2588C">
                    <w:rPr>
                      <w:rFonts w:eastAsia="標楷體"/>
                    </w:rPr>
                    <w:t>月獲得</w:t>
                  </w:r>
                  <w:r w:rsidRPr="00B2588C">
                    <w:rPr>
                      <w:rFonts w:eastAsia="標楷體"/>
                    </w:rPr>
                    <w:t>ISO 9001:2000</w:t>
                  </w:r>
                  <w:r w:rsidRPr="00B2588C">
                    <w:rPr>
                      <w:rFonts w:eastAsia="標楷體"/>
                    </w:rPr>
                    <w:t>體系認證。</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t>97</w:t>
                  </w:r>
                  <w:r w:rsidRPr="00B2588C">
                    <w:rPr>
                      <w:rFonts w:eastAsia="標楷體"/>
                    </w:rPr>
                    <w:t>年</w:t>
                  </w:r>
                </w:p>
              </w:tc>
              <w:tc>
                <w:tcPr>
                  <w:tcW w:w="7948" w:type="dxa"/>
                  <w:shd w:val="clear" w:color="auto" w:fill="auto"/>
                </w:tcPr>
                <w:p w:rsidR="00B2588C" w:rsidRPr="00B2588C" w:rsidRDefault="00B2588C" w:rsidP="00217D03">
                  <w:pPr>
                    <w:rPr>
                      <w:rFonts w:eastAsia="標楷體"/>
                    </w:rPr>
                  </w:pPr>
                  <w:r w:rsidRPr="00B2588C">
                    <w:rPr>
                      <w:rFonts w:eastAsia="標楷體"/>
                    </w:rPr>
                    <w:t>八里廠遷廠五股廠。</w:t>
                  </w:r>
                </w:p>
                <w:p w:rsidR="00B2588C" w:rsidRPr="00B2588C" w:rsidRDefault="00B2588C" w:rsidP="00217D03">
                  <w:pPr>
                    <w:rPr>
                      <w:rFonts w:eastAsia="標楷體"/>
                    </w:rPr>
                  </w:pPr>
                  <w:r w:rsidRPr="00B2588C">
                    <w:rPr>
                      <w:rFonts w:eastAsia="標楷體"/>
                    </w:rPr>
                    <w:t>12</w:t>
                  </w:r>
                  <w:r w:rsidRPr="00B2588C">
                    <w:rPr>
                      <w:rFonts w:eastAsia="標楷體"/>
                    </w:rPr>
                    <w:t>月首次通過</w:t>
                  </w:r>
                  <w:r w:rsidRPr="00B2588C">
                    <w:rPr>
                      <w:rFonts w:eastAsia="標楷體"/>
                    </w:rPr>
                    <w:t>ISO 90001</w:t>
                  </w:r>
                  <w:r w:rsidRPr="00B2588C">
                    <w:rPr>
                      <w:rFonts w:eastAsia="標楷體"/>
                    </w:rPr>
                    <w:t>體系認證。</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t>98</w:t>
                  </w:r>
                  <w:r w:rsidRPr="00B2588C">
                    <w:rPr>
                      <w:rFonts w:eastAsia="標楷體"/>
                    </w:rPr>
                    <w:t>年</w:t>
                  </w:r>
                </w:p>
              </w:tc>
              <w:tc>
                <w:tcPr>
                  <w:tcW w:w="7948" w:type="dxa"/>
                  <w:shd w:val="clear" w:color="auto" w:fill="auto"/>
                  <w:vAlign w:val="center"/>
                </w:tcPr>
                <w:p w:rsidR="00B2588C" w:rsidRPr="00B2588C" w:rsidRDefault="00B2588C" w:rsidP="00217D03">
                  <w:pPr>
                    <w:spacing w:line="320" w:lineRule="exact"/>
                    <w:rPr>
                      <w:rFonts w:eastAsia="標楷體"/>
                      <w:bCs/>
                    </w:rPr>
                  </w:pPr>
                  <w:r w:rsidRPr="00B2588C">
                    <w:rPr>
                      <w:rFonts w:eastAsia="標楷體"/>
                      <w:bCs/>
                    </w:rPr>
                    <w:t>寧波廠產能擴充，遷廠至中國寧波台晶園區</w:t>
                  </w:r>
                  <w:r w:rsidRPr="00B2588C">
                    <w:rPr>
                      <w:rFonts w:eastAsia="標楷體"/>
                      <w:bCs/>
                    </w:rPr>
                    <w:t>(</w:t>
                  </w:r>
                  <w:r w:rsidRPr="00B2588C">
                    <w:rPr>
                      <w:rFonts w:eastAsia="標楷體"/>
                      <w:bCs/>
                    </w:rPr>
                    <w:t>佔地</w:t>
                  </w:r>
                  <w:smartTag w:uri="urn:schemas-microsoft-com:office:smarttags" w:element="chmetcnv">
                    <w:smartTagPr>
                      <w:attr w:name="UnitName" w:val="m2"/>
                      <w:attr w:name="SourceValue" w:val="15000"/>
                      <w:attr w:name="HasSpace" w:val="False"/>
                      <w:attr w:name="Negative" w:val="False"/>
                      <w:attr w:name="NumberType" w:val="1"/>
                      <w:attr w:name="TCSC" w:val="0"/>
                    </w:smartTagPr>
                    <w:r w:rsidRPr="00B2588C">
                      <w:rPr>
                        <w:rFonts w:eastAsia="標楷體"/>
                        <w:bCs/>
                      </w:rPr>
                      <w:t>15000m</w:t>
                    </w:r>
                    <w:r w:rsidRPr="00B2588C">
                      <w:rPr>
                        <w:rFonts w:eastAsia="標楷體"/>
                        <w:bCs/>
                        <w:vertAlign w:val="superscript"/>
                      </w:rPr>
                      <w:t>2</w:t>
                    </w:r>
                  </w:smartTag>
                  <w:r w:rsidRPr="00B2588C">
                    <w:rPr>
                      <w:rFonts w:eastAsia="標楷體"/>
                      <w:bCs/>
                    </w:rPr>
                    <w:t>)</w:t>
                  </w:r>
                  <w:r w:rsidRPr="00B2588C">
                    <w:rPr>
                      <w:rFonts w:eastAsia="標楷體"/>
                      <w:bCs/>
                    </w:rPr>
                    <w:t>滿足智慧電錶</w:t>
                  </w:r>
                  <w:r w:rsidRPr="00B2588C">
                    <w:rPr>
                      <w:rFonts w:eastAsia="標楷體"/>
                      <w:bCs/>
                    </w:rPr>
                    <w:t>(Energy)</w:t>
                  </w:r>
                  <w:r w:rsidRPr="00B2588C">
                    <w:rPr>
                      <w:rFonts w:eastAsia="標楷體"/>
                      <w:bCs/>
                    </w:rPr>
                    <w:t>、工業縫紉機</w:t>
                  </w:r>
                  <w:r w:rsidRPr="00B2588C">
                    <w:rPr>
                      <w:rFonts w:eastAsia="標楷體"/>
                      <w:bCs/>
                    </w:rPr>
                    <w:t>(Industry)</w:t>
                  </w:r>
                  <w:r w:rsidRPr="00B2588C">
                    <w:rPr>
                      <w:rFonts w:eastAsia="標楷體"/>
                      <w:bCs/>
                    </w:rPr>
                    <w:t>、智慧家電及</w:t>
                  </w:r>
                  <w:r w:rsidRPr="00B2588C">
                    <w:rPr>
                      <w:rFonts w:eastAsia="標楷體"/>
                      <w:bCs/>
                    </w:rPr>
                    <w:t>MFP(Smart Life)</w:t>
                  </w:r>
                  <w:r w:rsidRPr="00B2588C">
                    <w:rPr>
                      <w:rFonts w:eastAsia="標楷體"/>
                      <w:bCs/>
                    </w:rPr>
                    <w:t>各市場客戶的訂單需求。</w:t>
                  </w:r>
                </w:p>
                <w:p w:rsidR="00B2588C" w:rsidRPr="00B2588C" w:rsidRDefault="00B2588C" w:rsidP="00217D03">
                  <w:pPr>
                    <w:spacing w:line="320" w:lineRule="exact"/>
                    <w:rPr>
                      <w:rFonts w:eastAsia="標楷體"/>
                    </w:rPr>
                  </w:pPr>
                  <w:r w:rsidRPr="00B2588C">
                    <w:rPr>
                      <w:rFonts w:eastAsia="標楷體"/>
                      <w:bCs/>
                    </w:rPr>
                    <w:t>面臨金融風暴，董事會</w:t>
                  </w:r>
                  <w:proofErr w:type="gramStart"/>
                  <w:r w:rsidRPr="00B2588C">
                    <w:rPr>
                      <w:rFonts w:eastAsia="標楷體"/>
                      <w:bCs/>
                    </w:rPr>
                    <w:t>決定暫撤公開</w:t>
                  </w:r>
                  <w:proofErr w:type="gramEnd"/>
                  <w:r w:rsidRPr="00B2588C">
                    <w:rPr>
                      <w:rFonts w:eastAsia="標楷體"/>
                      <w:bCs/>
                    </w:rPr>
                    <w:t>發行。</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t>99</w:t>
                  </w:r>
                  <w:r w:rsidRPr="00B2588C">
                    <w:rPr>
                      <w:rFonts w:eastAsia="標楷體"/>
                    </w:rPr>
                    <w:t>年</w:t>
                  </w:r>
                </w:p>
              </w:tc>
              <w:tc>
                <w:tcPr>
                  <w:tcW w:w="7948" w:type="dxa"/>
                  <w:shd w:val="clear" w:color="auto" w:fill="auto"/>
                </w:tcPr>
                <w:p w:rsidR="00B2588C" w:rsidRPr="00B2588C" w:rsidRDefault="00B2588C" w:rsidP="00217D03">
                  <w:pPr>
                    <w:rPr>
                      <w:rFonts w:eastAsia="標楷體"/>
                    </w:rPr>
                  </w:pPr>
                  <w:r w:rsidRPr="00B2588C">
                    <w:rPr>
                      <w:rFonts w:eastAsia="標楷體"/>
                    </w:rPr>
                    <w:t>五股廠獲得</w:t>
                  </w:r>
                  <w:r w:rsidRPr="00B2588C">
                    <w:rPr>
                      <w:rFonts w:eastAsia="標楷體"/>
                    </w:rPr>
                    <w:t xml:space="preserve"> ISO9001:2008</w:t>
                  </w:r>
                  <w:r w:rsidRPr="00B2588C">
                    <w:rPr>
                      <w:rFonts w:eastAsia="標楷體"/>
                    </w:rPr>
                    <w:t>認證合格。</w:t>
                  </w:r>
                </w:p>
                <w:p w:rsidR="00B2588C" w:rsidRPr="00B2588C" w:rsidRDefault="00B2588C" w:rsidP="00217D03">
                  <w:pPr>
                    <w:rPr>
                      <w:rFonts w:eastAsia="標楷體"/>
                    </w:rPr>
                  </w:pPr>
                  <w:proofErr w:type="gramStart"/>
                  <w:r w:rsidRPr="00B2588C">
                    <w:rPr>
                      <w:rFonts w:eastAsia="標楷體"/>
                    </w:rPr>
                    <w:t>寧波興茂子公司</w:t>
                  </w:r>
                  <w:proofErr w:type="gramEnd"/>
                  <w:r w:rsidRPr="00B2588C">
                    <w:rPr>
                      <w:rFonts w:eastAsia="標楷體"/>
                    </w:rPr>
                    <w:t>擴大投資，增資</w:t>
                  </w:r>
                  <w:r w:rsidRPr="00B2588C">
                    <w:rPr>
                      <w:rFonts w:eastAsia="標楷體"/>
                    </w:rPr>
                    <w:t>100</w:t>
                  </w:r>
                  <w:r w:rsidRPr="00B2588C">
                    <w:rPr>
                      <w:rFonts w:eastAsia="標楷體"/>
                    </w:rPr>
                    <w:t>萬美元，註冊資本合</w:t>
                  </w:r>
                  <w:r w:rsidRPr="00B2588C">
                    <w:rPr>
                      <w:rFonts w:eastAsia="標楷體"/>
                    </w:rPr>
                    <w:t>400</w:t>
                  </w:r>
                  <w:r w:rsidRPr="00B2588C">
                    <w:rPr>
                      <w:rFonts w:eastAsia="標楷體"/>
                    </w:rPr>
                    <w:t>萬美元</w:t>
                  </w:r>
                  <w:r w:rsidRPr="00B2588C">
                    <w:rPr>
                      <w:rFonts w:eastAsia="標楷體"/>
                      <w:bCs/>
                    </w:rPr>
                    <w:t>。</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t>100</w:t>
                  </w:r>
                  <w:r w:rsidRPr="00B2588C">
                    <w:rPr>
                      <w:rFonts w:eastAsia="標楷體"/>
                    </w:rPr>
                    <w:t>年</w:t>
                  </w:r>
                </w:p>
              </w:tc>
              <w:tc>
                <w:tcPr>
                  <w:tcW w:w="7948" w:type="dxa"/>
                  <w:shd w:val="clear" w:color="auto" w:fill="auto"/>
                </w:tcPr>
                <w:p w:rsidR="00B2588C" w:rsidRPr="00B2588C" w:rsidRDefault="00B2588C" w:rsidP="00217D03">
                  <w:pPr>
                    <w:rPr>
                      <w:rFonts w:eastAsia="標楷體"/>
                    </w:rPr>
                  </w:pPr>
                  <w:r w:rsidRPr="00B2588C">
                    <w:rPr>
                      <w:rFonts w:eastAsia="標楷體"/>
                    </w:rPr>
                    <w:t>9</w:t>
                  </w:r>
                  <w:r w:rsidRPr="00B2588C">
                    <w:rPr>
                      <w:rFonts w:eastAsia="標楷體"/>
                    </w:rPr>
                    <w:t>月獲得</w:t>
                  </w:r>
                  <w:r w:rsidRPr="00B2588C">
                    <w:rPr>
                      <w:rFonts w:eastAsia="標楷體"/>
                    </w:rPr>
                    <w:t>ISO 14001</w:t>
                  </w:r>
                  <w:r w:rsidRPr="00B2588C">
                    <w:rPr>
                      <w:rFonts w:eastAsia="標楷體"/>
                    </w:rPr>
                    <w:t>、</w:t>
                  </w:r>
                  <w:r w:rsidRPr="00B2588C">
                    <w:rPr>
                      <w:rFonts w:eastAsia="標楷體"/>
                    </w:rPr>
                    <w:t>ISO/TS 16949</w:t>
                  </w:r>
                  <w:r w:rsidRPr="00B2588C">
                    <w:rPr>
                      <w:rFonts w:eastAsia="標楷體"/>
                    </w:rPr>
                    <w:t>認證合格。</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lastRenderedPageBreak/>
                    <w:t>101</w:t>
                  </w:r>
                  <w:r w:rsidRPr="00B2588C">
                    <w:rPr>
                      <w:rFonts w:eastAsia="標楷體"/>
                    </w:rPr>
                    <w:t>年</w:t>
                  </w:r>
                </w:p>
              </w:tc>
              <w:tc>
                <w:tcPr>
                  <w:tcW w:w="7948" w:type="dxa"/>
                  <w:shd w:val="clear" w:color="auto" w:fill="auto"/>
                </w:tcPr>
                <w:p w:rsidR="00B2588C" w:rsidRPr="00B2588C" w:rsidRDefault="00B2588C" w:rsidP="00217D03">
                  <w:pPr>
                    <w:rPr>
                      <w:rFonts w:eastAsia="標楷體"/>
                    </w:rPr>
                  </w:pPr>
                  <w:r w:rsidRPr="00B2588C">
                    <w:rPr>
                      <w:rFonts w:eastAsia="標楷體"/>
                    </w:rPr>
                    <w:t>2</w:t>
                  </w:r>
                  <w:r w:rsidRPr="00B2588C">
                    <w:rPr>
                      <w:rFonts w:eastAsia="標楷體"/>
                    </w:rPr>
                    <w:t>月獲得</w:t>
                  </w:r>
                  <w:r w:rsidRPr="00B2588C">
                    <w:rPr>
                      <w:rFonts w:eastAsia="標楷體"/>
                    </w:rPr>
                    <w:t xml:space="preserve">OHSAS 18001 </w:t>
                  </w:r>
                  <w:r w:rsidRPr="00B2588C">
                    <w:rPr>
                      <w:rFonts w:eastAsia="標楷體"/>
                    </w:rPr>
                    <w:t>認證合格。</w:t>
                  </w:r>
                </w:p>
                <w:p w:rsidR="00B2588C" w:rsidRPr="00B2588C" w:rsidRDefault="00B2588C" w:rsidP="00217D03">
                  <w:pPr>
                    <w:rPr>
                      <w:rFonts w:eastAsia="標楷體"/>
                    </w:rPr>
                  </w:pPr>
                  <w:r w:rsidRPr="00B2588C">
                    <w:rPr>
                      <w:rFonts w:eastAsia="標楷體"/>
                    </w:rPr>
                    <w:t>1</w:t>
                  </w:r>
                  <w:r w:rsidRPr="00B2588C">
                    <w:rPr>
                      <w:rFonts w:eastAsia="標楷體"/>
                    </w:rPr>
                    <w:t>月</w:t>
                  </w:r>
                  <w:proofErr w:type="gramStart"/>
                  <w:r w:rsidRPr="00B2588C">
                    <w:rPr>
                      <w:rFonts w:eastAsia="標楷體"/>
                    </w:rPr>
                    <w:t>寧波興茂被</w:t>
                  </w:r>
                  <w:proofErr w:type="gramEnd"/>
                  <w:r w:rsidRPr="00B2588C">
                    <w:rPr>
                      <w:rFonts w:eastAsia="標楷體"/>
                    </w:rPr>
                    <w:t>授予北</w:t>
                  </w:r>
                  <w:proofErr w:type="gramStart"/>
                  <w:r w:rsidRPr="00B2588C">
                    <w:rPr>
                      <w:rFonts w:eastAsia="標楷體"/>
                    </w:rPr>
                    <w:t>侖</w:t>
                  </w:r>
                  <w:proofErr w:type="gramEnd"/>
                  <w:r w:rsidRPr="00B2588C">
                    <w:rPr>
                      <w:rFonts w:eastAsia="標楷體"/>
                    </w:rPr>
                    <w:t>區學習型企業。</w:t>
                  </w:r>
                </w:p>
                <w:p w:rsidR="00B2588C" w:rsidRPr="00B2588C" w:rsidRDefault="00B2588C" w:rsidP="00217D03">
                  <w:pPr>
                    <w:rPr>
                      <w:rFonts w:eastAsia="標楷體"/>
                    </w:rPr>
                  </w:pPr>
                  <w:r w:rsidRPr="00B2588C">
                    <w:rPr>
                      <w:rFonts w:eastAsia="標楷體"/>
                    </w:rPr>
                    <w:t>被授予北</w:t>
                  </w:r>
                  <w:proofErr w:type="gramStart"/>
                  <w:r w:rsidRPr="00B2588C">
                    <w:rPr>
                      <w:rFonts w:eastAsia="標楷體"/>
                    </w:rPr>
                    <w:t>侖</w:t>
                  </w:r>
                  <w:proofErr w:type="gramEnd"/>
                  <w:r w:rsidRPr="00B2588C">
                    <w:rPr>
                      <w:rFonts w:eastAsia="標楷體"/>
                    </w:rPr>
                    <w:t>區（開發區）企業工程技術中心。</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t>102</w:t>
                  </w:r>
                  <w:r w:rsidRPr="00B2588C">
                    <w:rPr>
                      <w:rFonts w:eastAsia="標楷體"/>
                    </w:rPr>
                    <w:t>年</w:t>
                  </w:r>
                </w:p>
              </w:tc>
              <w:tc>
                <w:tcPr>
                  <w:tcW w:w="7948" w:type="dxa"/>
                  <w:shd w:val="clear" w:color="auto" w:fill="auto"/>
                </w:tcPr>
                <w:p w:rsidR="00B2588C" w:rsidRPr="00B2588C" w:rsidRDefault="00B2588C" w:rsidP="00217D03">
                  <w:pPr>
                    <w:rPr>
                      <w:rFonts w:eastAsia="標楷體"/>
                    </w:rPr>
                  </w:pPr>
                  <w:r w:rsidRPr="00B2588C">
                    <w:rPr>
                      <w:rFonts w:eastAsia="標楷體"/>
                    </w:rPr>
                    <w:t>10</w:t>
                  </w:r>
                  <w:r w:rsidRPr="00B2588C">
                    <w:rPr>
                      <w:rFonts w:eastAsia="標楷體"/>
                    </w:rPr>
                    <w:t>月寧波</w:t>
                  </w:r>
                  <w:proofErr w:type="gramStart"/>
                  <w:r w:rsidRPr="00B2588C">
                    <w:rPr>
                      <w:rFonts w:eastAsia="標楷體"/>
                    </w:rPr>
                    <w:t>興茂廠</w:t>
                  </w:r>
                  <w:proofErr w:type="gramEnd"/>
                  <w:r w:rsidRPr="00B2588C">
                    <w:rPr>
                      <w:rFonts w:eastAsia="標楷體"/>
                    </w:rPr>
                    <w:t>生產基地，獲得國家高新技術企業認證合格，享有稅率優惠。</w:t>
                  </w:r>
                </w:p>
                <w:p w:rsidR="00B2588C" w:rsidRPr="00B2588C" w:rsidRDefault="00B2588C" w:rsidP="00217D03">
                  <w:pPr>
                    <w:rPr>
                      <w:rFonts w:eastAsia="標楷體"/>
                    </w:rPr>
                  </w:pPr>
                  <w:r w:rsidRPr="00B2588C">
                    <w:rPr>
                      <w:rFonts w:eastAsia="標楷體"/>
                    </w:rPr>
                    <w:t>首次通過</w:t>
                  </w:r>
                  <w:r w:rsidRPr="00B2588C">
                    <w:rPr>
                      <w:rFonts w:eastAsia="標楷體"/>
                      <w:bCs/>
                    </w:rPr>
                    <w:t>QC080000</w:t>
                  </w:r>
                  <w:r w:rsidRPr="00B2588C">
                    <w:rPr>
                      <w:rFonts w:eastAsia="標楷體"/>
                    </w:rPr>
                    <w:t>體系認證。</w:t>
                  </w:r>
                </w:p>
              </w:tc>
            </w:tr>
            <w:tr w:rsidR="00B2588C" w:rsidRPr="00B2588C" w:rsidTr="00B2588C">
              <w:tc>
                <w:tcPr>
                  <w:tcW w:w="1124" w:type="dxa"/>
                  <w:shd w:val="clear" w:color="auto" w:fill="auto"/>
                </w:tcPr>
                <w:p w:rsidR="00B2588C" w:rsidRPr="00B2588C" w:rsidRDefault="00B2588C" w:rsidP="00217D03">
                  <w:pPr>
                    <w:jc w:val="center"/>
                    <w:rPr>
                      <w:rFonts w:eastAsia="標楷體"/>
                    </w:rPr>
                  </w:pPr>
                  <w:r w:rsidRPr="00B2588C">
                    <w:rPr>
                      <w:rFonts w:eastAsia="標楷體"/>
                    </w:rPr>
                    <w:t>103</w:t>
                  </w:r>
                  <w:r w:rsidRPr="00B2588C">
                    <w:rPr>
                      <w:rFonts w:eastAsia="標楷體"/>
                    </w:rPr>
                    <w:t>年</w:t>
                  </w:r>
                </w:p>
              </w:tc>
              <w:tc>
                <w:tcPr>
                  <w:tcW w:w="7948" w:type="dxa"/>
                  <w:shd w:val="clear" w:color="auto" w:fill="auto"/>
                </w:tcPr>
                <w:p w:rsidR="00B2588C" w:rsidRPr="00B2588C" w:rsidRDefault="00B2588C" w:rsidP="00217D03">
                  <w:pPr>
                    <w:rPr>
                      <w:rFonts w:eastAsia="標楷體"/>
                    </w:rPr>
                  </w:pPr>
                  <w:r w:rsidRPr="00B2588C">
                    <w:rPr>
                      <w:rFonts w:eastAsia="標楷體"/>
                    </w:rPr>
                    <w:t>為提升產業競爭力及企業經營績效，企業再造、兩岸專業分工，進行下列組織重組：</w:t>
                  </w:r>
                </w:p>
                <w:p w:rsidR="00B2588C" w:rsidRPr="00B2588C" w:rsidRDefault="00B2588C" w:rsidP="00217D03">
                  <w:pPr>
                    <w:rPr>
                      <w:rFonts w:eastAsia="標楷體"/>
                    </w:rPr>
                  </w:pPr>
                  <w:r w:rsidRPr="00B2588C">
                    <w:rPr>
                      <w:rFonts w:eastAsia="標楷體"/>
                    </w:rPr>
                    <w:t>本公司</w:t>
                  </w:r>
                  <w:r w:rsidRPr="00B2588C">
                    <w:rPr>
                      <w:rFonts w:eastAsia="標楷體"/>
                    </w:rPr>
                    <w:t>3</w:t>
                  </w:r>
                  <w:r w:rsidRPr="00B2588C">
                    <w:rPr>
                      <w:rFonts w:eastAsia="標楷體"/>
                    </w:rPr>
                    <w:t>月成立持股</w:t>
                  </w:r>
                  <w:r w:rsidRPr="00B2588C">
                    <w:rPr>
                      <w:rFonts w:eastAsia="標楷體"/>
                    </w:rPr>
                    <w:t>100%</w:t>
                  </w:r>
                  <w:r w:rsidRPr="00B2588C">
                    <w:rPr>
                      <w:rFonts w:eastAsia="標楷體"/>
                    </w:rPr>
                    <w:t>之子公司良興股份有限公司（下稱「良興公司」），並以</w:t>
                  </w:r>
                  <w:r w:rsidRPr="00B2588C">
                    <w:rPr>
                      <w:rFonts w:eastAsia="標楷體"/>
                    </w:rPr>
                    <w:t>103</w:t>
                  </w:r>
                  <w:r w:rsidRPr="00B2588C">
                    <w:rPr>
                      <w:rFonts w:eastAsia="標楷體"/>
                    </w:rPr>
                    <w:t>年</w:t>
                  </w:r>
                  <w:r w:rsidRPr="00B2588C">
                    <w:rPr>
                      <w:rFonts w:eastAsia="標楷體"/>
                    </w:rPr>
                    <w:t>7</w:t>
                  </w:r>
                  <w:r w:rsidRPr="00B2588C">
                    <w:rPr>
                      <w:rFonts w:eastAsia="標楷體"/>
                    </w:rPr>
                    <w:t>月</w:t>
                  </w:r>
                  <w:r w:rsidRPr="00B2588C">
                    <w:rPr>
                      <w:rFonts w:eastAsia="標楷體"/>
                    </w:rPr>
                    <w:t>1</w:t>
                  </w:r>
                  <w:r w:rsidRPr="00B2588C">
                    <w:rPr>
                      <w:rFonts w:eastAsia="標楷體"/>
                    </w:rPr>
                    <w:t>日為分割基準日，本公司將電子零組件暨消費通路事業群之相關業務以</w:t>
                  </w:r>
                  <w:proofErr w:type="gramStart"/>
                  <w:r w:rsidRPr="00B2588C">
                    <w:rPr>
                      <w:rFonts w:eastAsia="標楷體"/>
                    </w:rPr>
                    <w:t>帳面</w:t>
                  </w:r>
                  <w:proofErr w:type="gramEnd"/>
                  <w:r w:rsidRPr="00B2588C">
                    <w:rPr>
                      <w:rFonts w:eastAsia="標楷體"/>
                    </w:rPr>
                    <w:t>價值分割讓與良興公司，良興公司同時發行新股</w:t>
                  </w:r>
                  <w:r w:rsidRPr="00B2588C">
                    <w:rPr>
                      <w:rFonts w:eastAsia="標楷體"/>
                    </w:rPr>
                    <w:t>9,900</w:t>
                  </w:r>
                  <w:r w:rsidRPr="00B2588C">
                    <w:rPr>
                      <w:rFonts w:eastAsia="標楷體"/>
                    </w:rPr>
                    <w:t>仟股全數用以交換本公司分割之電子零組件暨消費通路事業群業務；</w:t>
                  </w:r>
                </w:p>
                <w:p w:rsidR="00B2588C" w:rsidRPr="00B2588C" w:rsidRDefault="00B2588C" w:rsidP="00217D03">
                  <w:pPr>
                    <w:rPr>
                      <w:rFonts w:eastAsia="標楷體"/>
                    </w:rPr>
                  </w:pPr>
                  <w:r w:rsidRPr="00B2588C">
                    <w:rPr>
                      <w:rFonts w:eastAsia="標楷體"/>
                    </w:rPr>
                    <w:t>本公司</w:t>
                  </w:r>
                  <w:r w:rsidRPr="00B2588C">
                    <w:rPr>
                      <w:rFonts w:eastAsia="標楷體"/>
                    </w:rPr>
                    <w:t>10</w:t>
                  </w:r>
                  <w:r w:rsidRPr="00B2588C">
                    <w:rPr>
                      <w:rFonts w:eastAsia="標楷體"/>
                    </w:rPr>
                    <w:t>月成立持股</w:t>
                  </w:r>
                  <w:r w:rsidRPr="00B2588C">
                    <w:rPr>
                      <w:rFonts w:eastAsia="標楷體"/>
                    </w:rPr>
                    <w:t>100%</w:t>
                  </w:r>
                  <w:r w:rsidRPr="00B2588C">
                    <w:rPr>
                      <w:rFonts w:eastAsia="標楷體"/>
                    </w:rPr>
                    <w:t>之子公司良興國際股份有限公司（下稱「良興國際」），並以</w:t>
                  </w:r>
                  <w:r w:rsidRPr="00B2588C">
                    <w:rPr>
                      <w:rFonts w:eastAsia="標楷體"/>
                    </w:rPr>
                    <w:t>103</w:t>
                  </w:r>
                  <w:r w:rsidRPr="00B2588C">
                    <w:rPr>
                      <w:rFonts w:eastAsia="標楷體"/>
                    </w:rPr>
                    <w:t>年</w:t>
                  </w:r>
                  <w:r w:rsidRPr="00B2588C">
                    <w:rPr>
                      <w:rFonts w:eastAsia="標楷體"/>
                    </w:rPr>
                    <w:t>10</w:t>
                  </w:r>
                  <w:r w:rsidRPr="00B2588C">
                    <w:rPr>
                      <w:rFonts w:eastAsia="標楷體"/>
                    </w:rPr>
                    <w:t>月</w:t>
                  </w:r>
                  <w:r w:rsidRPr="00B2588C">
                    <w:rPr>
                      <w:rFonts w:eastAsia="標楷體"/>
                    </w:rPr>
                    <w:t>31</w:t>
                  </w:r>
                  <w:r w:rsidRPr="00B2588C">
                    <w:rPr>
                      <w:rFonts w:eastAsia="標楷體"/>
                    </w:rPr>
                    <w:t>日為分割基準日，將良興公司</w:t>
                  </w:r>
                  <w:r w:rsidRPr="00B2588C">
                    <w:rPr>
                      <w:rFonts w:eastAsia="標楷體"/>
                    </w:rPr>
                    <w:t>100%</w:t>
                  </w:r>
                  <w:r w:rsidRPr="00B2588C">
                    <w:rPr>
                      <w:rFonts w:eastAsia="標楷體"/>
                    </w:rPr>
                    <w:t>股權</w:t>
                  </w:r>
                  <w:proofErr w:type="gramStart"/>
                  <w:r w:rsidRPr="00B2588C">
                    <w:rPr>
                      <w:rFonts w:eastAsia="標楷體"/>
                    </w:rPr>
                    <w:t>分割予良興</w:t>
                  </w:r>
                  <w:proofErr w:type="gramEnd"/>
                  <w:r w:rsidRPr="00B2588C">
                    <w:rPr>
                      <w:rFonts w:eastAsia="標楷體"/>
                    </w:rPr>
                    <w:t>國際。良興國際承受分割發行新股</w:t>
                  </w:r>
                  <w:r w:rsidRPr="00B2588C">
                    <w:rPr>
                      <w:rFonts w:eastAsia="標楷體"/>
                    </w:rPr>
                    <w:t>10,000</w:t>
                  </w:r>
                  <w:r w:rsidRPr="00B2588C">
                    <w:rPr>
                      <w:rFonts w:eastAsia="標楷體"/>
                    </w:rPr>
                    <w:t>仟股，其中本公司取得良興國際</w:t>
                  </w:r>
                  <w:r w:rsidRPr="00B2588C">
                    <w:rPr>
                      <w:rFonts w:eastAsia="標楷體"/>
                    </w:rPr>
                    <w:t>15%</w:t>
                  </w:r>
                  <w:r w:rsidRPr="00B2588C">
                    <w:rPr>
                      <w:rFonts w:eastAsia="標楷體"/>
                    </w:rPr>
                    <w:t>之股權，本公司之全體股東取得</w:t>
                  </w:r>
                  <w:r w:rsidRPr="00B2588C">
                    <w:rPr>
                      <w:rFonts w:eastAsia="標楷體"/>
                    </w:rPr>
                    <w:t>85%</w:t>
                  </w:r>
                  <w:r w:rsidRPr="00B2588C">
                    <w:rPr>
                      <w:rFonts w:eastAsia="標楷體"/>
                    </w:rPr>
                    <w:t>之股權。同時本公司以</w:t>
                  </w:r>
                  <w:r w:rsidRPr="00B2588C">
                    <w:rPr>
                      <w:rFonts w:eastAsia="標楷體"/>
                    </w:rPr>
                    <w:t>103</w:t>
                  </w:r>
                  <w:r w:rsidRPr="00B2588C">
                    <w:rPr>
                      <w:rFonts w:eastAsia="標楷體"/>
                    </w:rPr>
                    <w:t>年</w:t>
                  </w:r>
                  <w:r w:rsidRPr="00B2588C">
                    <w:rPr>
                      <w:rFonts w:eastAsia="標楷體"/>
                    </w:rPr>
                    <w:t>10</w:t>
                  </w:r>
                  <w:r w:rsidRPr="00B2588C">
                    <w:rPr>
                      <w:rFonts w:eastAsia="標楷體"/>
                    </w:rPr>
                    <w:t>月</w:t>
                  </w:r>
                  <w:r w:rsidRPr="00B2588C">
                    <w:rPr>
                      <w:rFonts w:eastAsia="標楷體"/>
                    </w:rPr>
                    <w:t>31</w:t>
                  </w:r>
                  <w:r w:rsidRPr="00B2588C">
                    <w:rPr>
                      <w:rFonts w:eastAsia="標楷體"/>
                    </w:rPr>
                    <w:t>日為減資基準日辦理減資</w:t>
                  </w:r>
                  <w:r w:rsidRPr="00B2588C">
                    <w:rPr>
                      <w:rFonts w:eastAsia="標楷體"/>
                    </w:rPr>
                    <w:t>66,389</w:t>
                  </w:r>
                  <w:r w:rsidRPr="00B2588C">
                    <w:rPr>
                      <w:rFonts w:eastAsia="標楷體"/>
                    </w:rPr>
                    <w:t>仟元，</w:t>
                  </w:r>
                  <w:proofErr w:type="gramStart"/>
                  <w:r w:rsidRPr="00B2588C">
                    <w:rPr>
                      <w:rFonts w:eastAsia="標楷體"/>
                    </w:rPr>
                    <w:t>計銷除</w:t>
                  </w:r>
                  <w:proofErr w:type="gramEnd"/>
                  <w:r w:rsidRPr="00B2588C">
                    <w:rPr>
                      <w:rFonts w:eastAsia="標楷體"/>
                    </w:rPr>
                    <w:t>6,639</w:t>
                  </w:r>
                  <w:r w:rsidRPr="00B2588C">
                    <w:rPr>
                      <w:rFonts w:eastAsia="標楷體"/>
                    </w:rPr>
                    <w:t>仟股，減資比例約為</w:t>
                  </w:r>
                  <w:r w:rsidRPr="00B2588C">
                    <w:rPr>
                      <w:rFonts w:eastAsia="標楷體"/>
                    </w:rPr>
                    <w:t>30%</w:t>
                  </w:r>
                  <w:r w:rsidRPr="00B2588C">
                    <w:rPr>
                      <w:rFonts w:eastAsia="標楷體"/>
                    </w:rPr>
                    <w:t>，實收資本額由新台幣</w:t>
                  </w:r>
                  <w:r w:rsidRPr="00B2588C">
                    <w:rPr>
                      <w:rFonts w:eastAsia="標楷體"/>
                    </w:rPr>
                    <w:t>221,299</w:t>
                  </w:r>
                  <w:r w:rsidRPr="00B2588C">
                    <w:rPr>
                      <w:rFonts w:eastAsia="標楷體"/>
                    </w:rPr>
                    <w:t>仟元降為新台幣</w:t>
                  </w:r>
                  <w:r w:rsidRPr="00B2588C">
                    <w:rPr>
                      <w:rFonts w:eastAsia="標楷體"/>
                    </w:rPr>
                    <w:t>154,909</w:t>
                  </w:r>
                  <w:r w:rsidRPr="00B2588C">
                    <w:rPr>
                      <w:rFonts w:eastAsia="標楷體"/>
                    </w:rPr>
                    <w:t>仟元，流通在外股數為</w:t>
                  </w:r>
                  <w:r w:rsidRPr="00B2588C">
                    <w:rPr>
                      <w:rFonts w:eastAsia="標楷體"/>
                    </w:rPr>
                    <w:t>15,491</w:t>
                  </w:r>
                  <w:r w:rsidRPr="00B2588C">
                    <w:rPr>
                      <w:rFonts w:eastAsia="標楷體"/>
                    </w:rPr>
                    <w:t>仟股。</w:t>
                  </w:r>
                </w:p>
                <w:p w:rsidR="00B2588C" w:rsidRPr="00B2588C" w:rsidRDefault="00B2588C" w:rsidP="00217D03">
                  <w:pPr>
                    <w:rPr>
                      <w:rFonts w:eastAsia="標楷體"/>
                    </w:rPr>
                  </w:pPr>
                  <w:r w:rsidRPr="00B2588C">
                    <w:rPr>
                      <w:rFonts w:eastAsia="標楷體"/>
                    </w:rPr>
                    <w:t>良興國際與良興公司依企業</w:t>
                  </w:r>
                  <w:proofErr w:type="gramStart"/>
                  <w:r w:rsidRPr="00B2588C">
                    <w:rPr>
                      <w:rFonts w:eastAsia="標楷體"/>
                    </w:rPr>
                    <w:t>併購法</w:t>
                  </w:r>
                  <w:proofErr w:type="gramEnd"/>
                  <w:r w:rsidRPr="00B2588C">
                    <w:rPr>
                      <w:rFonts w:eastAsia="標楷體"/>
                    </w:rPr>
                    <w:t>進行母子公司合併，合併後以良興公司為存續公司，良興國際為消滅公司，母子公司合併後，本公司持有良興公司</w:t>
                  </w:r>
                  <w:r w:rsidRPr="00B2588C">
                    <w:rPr>
                      <w:rFonts w:eastAsia="標楷體"/>
                    </w:rPr>
                    <w:t>15%</w:t>
                  </w:r>
                  <w:r w:rsidRPr="00B2588C">
                    <w:rPr>
                      <w:rFonts w:eastAsia="標楷體"/>
                    </w:rPr>
                    <w:t>股權；</w:t>
                  </w:r>
                </w:p>
                <w:p w:rsidR="00B2588C" w:rsidRPr="00B2588C" w:rsidRDefault="00B2588C" w:rsidP="00217D03">
                  <w:pPr>
                    <w:rPr>
                      <w:rFonts w:eastAsia="標楷體"/>
                    </w:rPr>
                  </w:pPr>
                  <w:r w:rsidRPr="00B2588C">
                    <w:rPr>
                      <w:rFonts w:eastAsia="標楷體"/>
                    </w:rPr>
                    <w:t>買回台晶</w:t>
                  </w:r>
                  <w:r w:rsidRPr="00B2588C">
                    <w:rPr>
                      <w:rFonts w:eastAsia="標楷體"/>
                    </w:rPr>
                    <w:t>(</w:t>
                  </w:r>
                  <w:r w:rsidRPr="00B2588C">
                    <w:rPr>
                      <w:rFonts w:eastAsia="標楷體"/>
                    </w:rPr>
                    <w:t>寧波</w:t>
                  </w:r>
                  <w:r w:rsidRPr="00B2588C">
                    <w:rPr>
                      <w:rFonts w:eastAsia="標楷體"/>
                    </w:rPr>
                    <w:t>)</w:t>
                  </w:r>
                  <w:r w:rsidRPr="00B2588C">
                    <w:rPr>
                      <w:rFonts w:eastAsia="標楷體"/>
                    </w:rPr>
                    <w:t>擁有</w:t>
                  </w:r>
                  <w:proofErr w:type="gramStart"/>
                  <w:r w:rsidRPr="00B2588C">
                    <w:rPr>
                      <w:rFonts w:eastAsia="標楷體"/>
                    </w:rPr>
                    <w:t>寧波興茂電子</w:t>
                  </w:r>
                  <w:proofErr w:type="gramEnd"/>
                  <w:r w:rsidRPr="00B2588C">
                    <w:rPr>
                      <w:rFonts w:eastAsia="標楷體"/>
                    </w:rPr>
                    <w:t>23%</w:t>
                  </w:r>
                  <w:r w:rsidRPr="00B2588C">
                    <w:rPr>
                      <w:rFonts w:eastAsia="標楷體"/>
                    </w:rPr>
                    <w:t>股權，</w:t>
                  </w:r>
                  <w:proofErr w:type="gramStart"/>
                  <w:r w:rsidRPr="00B2588C">
                    <w:rPr>
                      <w:rFonts w:eastAsia="標楷體"/>
                    </w:rPr>
                    <w:t>寧波興茂電子</w:t>
                  </w:r>
                  <w:proofErr w:type="gramEnd"/>
                  <w:r w:rsidRPr="00B2588C">
                    <w:rPr>
                      <w:rFonts w:eastAsia="標楷體"/>
                    </w:rPr>
                    <w:t>成為本公司</w:t>
                  </w:r>
                  <w:r w:rsidRPr="00B2588C">
                    <w:rPr>
                      <w:rFonts w:eastAsia="標楷體"/>
                    </w:rPr>
                    <w:t>100%</w:t>
                  </w:r>
                  <w:r w:rsidRPr="00B2588C">
                    <w:rPr>
                      <w:rFonts w:eastAsia="標楷體"/>
                    </w:rPr>
                    <w:t>轉投資子公司。</w:t>
                  </w:r>
                </w:p>
                <w:p w:rsidR="00B2588C" w:rsidRPr="00B2588C" w:rsidRDefault="00B2588C" w:rsidP="00217D03">
                  <w:pPr>
                    <w:rPr>
                      <w:rFonts w:eastAsia="標楷體"/>
                      <w:color w:val="FF0000"/>
                      <w:highlight w:val="cyan"/>
                    </w:rPr>
                  </w:pPr>
                  <w:r w:rsidRPr="00B2588C">
                    <w:rPr>
                      <w:rFonts w:eastAsia="標楷體"/>
                    </w:rPr>
                    <w:t>現金增資</w:t>
                  </w:r>
                  <w:r w:rsidRPr="00B2588C">
                    <w:rPr>
                      <w:rFonts w:eastAsia="標楷體"/>
                    </w:rPr>
                    <w:t>45,091</w:t>
                  </w:r>
                  <w:r w:rsidRPr="00B2588C">
                    <w:rPr>
                      <w:rFonts w:eastAsia="標楷體"/>
                    </w:rPr>
                    <w:t>仟元，增資後資本額達</w:t>
                  </w:r>
                  <w:r w:rsidRPr="00B2588C">
                    <w:rPr>
                      <w:rFonts w:eastAsia="標楷體"/>
                    </w:rPr>
                    <w:t>200,000</w:t>
                  </w:r>
                  <w:r w:rsidRPr="00B2588C">
                    <w:rPr>
                      <w:rFonts w:eastAsia="標楷體"/>
                    </w:rPr>
                    <w:t>仟元</w:t>
                  </w:r>
                </w:p>
              </w:tc>
            </w:tr>
            <w:tr w:rsidR="00B2588C" w:rsidRPr="00B2588C" w:rsidTr="004E02F7">
              <w:tc>
                <w:tcPr>
                  <w:tcW w:w="1124" w:type="dxa"/>
                  <w:vMerge w:val="restart"/>
                  <w:shd w:val="clear" w:color="auto" w:fill="auto"/>
                </w:tcPr>
                <w:p w:rsidR="00B2588C" w:rsidRPr="00B2588C" w:rsidRDefault="00B2588C" w:rsidP="00217D03">
                  <w:pPr>
                    <w:jc w:val="center"/>
                    <w:rPr>
                      <w:rFonts w:eastAsia="標楷體"/>
                    </w:rPr>
                  </w:pPr>
                  <w:r w:rsidRPr="00B2588C">
                    <w:rPr>
                      <w:rFonts w:eastAsia="標楷體"/>
                    </w:rPr>
                    <w:t>104</w:t>
                  </w:r>
                  <w:r w:rsidRPr="00B2588C">
                    <w:rPr>
                      <w:rFonts w:eastAsia="標楷體"/>
                    </w:rPr>
                    <w:t>年</w:t>
                  </w:r>
                </w:p>
              </w:tc>
              <w:tc>
                <w:tcPr>
                  <w:tcW w:w="7948" w:type="dxa"/>
                  <w:tcBorders>
                    <w:bottom w:val="nil"/>
                  </w:tcBorders>
                  <w:shd w:val="clear" w:color="auto" w:fill="auto"/>
                </w:tcPr>
                <w:p w:rsidR="00B2588C" w:rsidRPr="00B2588C" w:rsidRDefault="00B2588C" w:rsidP="00217D03">
                  <w:pPr>
                    <w:rPr>
                      <w:rFonts w:eastAsia="標楷體"/>
                      <w:color w:val="FF0000"/>
                      <w:highlight w:val="yellow"/>
                    </w:rPr>
                  </w:pPr>
                  <w:r w:rsidRPr="00B2588C">
                    <w:rPr>
                      <w:rFonts w:eastAsia="標楷體"/>
                    </w:rPr>
                    <w:t>自動化產線導入，擴大自動化生產比率、成立</w:t>
                  </w:r>
                  <w:proofErr w:type="gramStart"/>
                  <w:r w:rsidRPr="00B2588C">
                    <w:rPr>
                      <w:rFonts w:eastAsia="標楷體"/>
                    </w:rPr>
                    <w:t>水閥可靠</w:t>
                  </w:r>
                  <w:proofErr w:type="gramEnd"/>
                  <w:r w:rsidRPr="00B2588C">
                    <w:rPr>
                      <w:rFonts w:eastAsia="標楷體"/>
                    </w:rPr>
                    <w:t>度實驗室。</w:t>
                  </w:r>
                </w:p>
              </w:tc>
            </w:tr>
            <w:tr w:rsidR="00B2588C" w:rsidRPr="00B2588C" w:rsidTr="004E02F7">
              <w:tc>
                <w:tcPr>
                  <w:tcW w:w="1124" w:type="dxa"/>
                  <w:vMerge/>
                  <w:shd w:val="clear" w:color="auto" w:fill="auto"/>
                </w:tcPr>
                <w:p w:rsidR="00B2588C" w:rsidRPr="00B2588C" w:rsidRDefault="00B2588C" w:rsidP="00217D03">
                  <w:pPr>
                    <w:jc w:val="center"/>
                    <w:rPr>
                      <w:rFonts w:eastAsia="標楷體"/>
                    </w:rPr>
                  </w:pPr>
                </w:p>
              </w:tc>
              <w:tc>
                <w:tcPr>
                  <w:tcW w:w="7948" w:type="dxa"/>
                  <w:tcBorders>
                    <w:top w:val="nil"/>
                    <w:bottom w:val="single" w:sz="12" w:space="0" w:color="auto"/>
                  </w:tcBorders>
                  <w:shd w:val="clear" w:color="auto" w:fill="auto"/>
                </w:tcPr>
                <w:p w:rsidR="00B2588C" w:rsidRPr="00B2588C" w:rsidRDefault="00B2588C" w:rsidP="00217D03">
                  <w:pPr>
                    <w:rPr>
                      <w:rFonts w:eastAsia="標楷體"/>
                      <w:highlight w:val="cyan"/>
                    </w:rPr>
                  </w:pPr>
                  <w:r w:rsidRPr="00B2588C">
                    <w:rPr>
                      <w:rFonts w:eastAsia="標楷體"/>
                    </w:rPr>
                    <w:t>本公司股票於</w:t>
                  </w:r>
                  <w:r w:rsidRPr="00B2588C">
                    <w:rPr>
                      <w:rFonts w:eastAsia="標楷體"/>
                    </w:rPr>
                    <w:t>104</w:t>
                  </w:r>
                  <w:r w:rsidRPr="00B2588C">
                    <w:rPr>
                      <w:rFonts w:eastAsia="標楷體"/>
                    </w:rPr>
                    <w:t>年</w:t>
                  </w:r>
                  <w:r w:rsidRPr="00B2588C">
                    <w:rPr>
                      <w:rFonts w:eastAsia="標楷體"/>
                    </w:rPr>
                    <w:t>7</w:t>
                  </w:r>
                  <w:r w:rsidRPr="00B2588C">
                    <w:rPr>
                      <w:rFonts w:eastAsia="標楷體"/>
                    </w:rPr>
                    <w:t>月</w:t>
                  </w:r>
                  <w:r w:rsidRPr="00B2588C">
                    <w:rPr>
                      <w:rFonts w:eastAsia="標楷體"/>
                    </w:rPr>
                    <w:t>27</w:t>
                  </w:r>
                  <w:r w:rsidRPr="00B2588C">
                    <w:rPr>
                      <w:rFonts w:eastAsia="標楷體"/>
                    </w:rPr>
                    <w:t>日經證券櫃檯買賣中心核准公開發行。</w:t>
                  </w:r>
                </w:p>
              </w:tc>
            </w:tr>
          </w:tbl>
          <w:p w:rsidR="0005586B" w:rsidRPr="00B2588C" w:rsidRDefault="0005586B" w:rsidP="003979F1">
            <w:pPr>
              <w:pStyle w:val="HTML"/>
              <w:spacing w:line="320" w:lineRule="exact"/>
              <w:ind w:rightChars="63" w:right="151"/>
              <w:jc w:val="both"/>
              <w:rPr>
                <w:rFonts w:ascii="Times New Roman" w:eastAsia="標楷體" w:hAnsi="Times New Roman" w:cs="Times New Roman"/>
                <w:b/>
                <w:bCs/>
                <w:sz w:val="24"/>
                <w:szCs w:val="24"/>
                <w:highlight w:val="yellow"/>
              </w:rPr>
            </w:pPr>
          </w:p>
          <w:p w:rsidR="00063522" w:rsidRPr="00BA261F" w:rsidRDefault="00F67072" w:rsidP="003979F1">
            <w:pPr>
              <w:pStyle w:val="HTML"/>
              <w:spacing w:line="320" w:lineRule="exact"/>
              <w:ind w:rightChars="63" w:right="151"/>
              <w:jc w:val="both"/>
              <w:rPr>
                <w:rFonts w:ascii="Times New Roman" w:eastAsia="標楷體" w:hAnsi="Times New Roman" w:cs="Times New Roman"/>
                <w:b/>
                <w:bCs/>
                <w:sz w:val="24"/>
                <w:szCs w:val="24"/>
              </w:rPr>
            </w:pPr>
            <w:r w:rsidRPr="0005586B">
              <w:rPr>
                <w:rFonts w:ascii="Times New Roman" w:eastAsia="標楷體" w:hAnsi="Times New Roman" w:cs="Times New Roman"/>
                <w:b/>
                <w:bCs/>
                <w:sz w:val="24"/>
                <w:szCs w:val="24"/>
              </w:rPr>
              <w:t>三、經營理念</w:t>
            </w:r>
          </w:p>
          <w:p w:rsidR="003151AA" w:rsidRPr="003151AA" w:rsidRDefault="003151AA" w:rsidP="003151AA">
            <w:pPr>
              <w:pStyle w:val="af8"/>
              <w:numPr>
                <w:ilvl w:val="0"/>
                <w:numId w:val="4"/>
              </w:numPr>
              <w:spacing w:before="100" w:beforeAutospacing="1" w:after="100" w:afterAutospacing="1"/>
              <w:ind w:leftChars="0"/>
              <w:rPr>
                <w:rFonts w:ascii="Times New Roman" w:eastAsia="標楷體" w:hAnsi="Times New Roman" w:cs="Times New Roman"/>
              </w:rPr>
            </w:pPr>
            <w:r w:rsidRPr="003151AA">
              <w:rPr>
                <w:rFonts w:ascii="Times New Roman" w:eastAsia="標楷體" w:hAnsi="Times New Roman" w:cs="Times New Roman"/>
              </w:rPr>
              <w:t>對員工：以人本為出發</w:t>
            </w:r>
            <w:r w:rsidRPr="003151AA">
              <w:rPr>
                <w:rFonts w:ascii="Times New Roman" w:eastAsia="標楷體" w:hAnsi="Times New Roman" w:cs="Times New Roman"/>
              </w:rPr>
              <w:t xml:space="preserve"> </w:t>
            </w:r>
          </w:p>
          <w:p w:rsidR="003151AA" w:rsidRPr="003151AA" w:rsidRDefault="003151AA" w:rsidP="003151AA">
            <w:pPr>
              <w:pStyle w:val="af8"/>
              <w:numPr>
                <w:ilvl w:val="0"/>
                <w:numId w:val="4"/>
              </w:numPr>
              <w:spacing w:before="100" w:beforeAutospacing="1" w:after="100" w:afterAutospacing="1"/>
              <w:ind w:leftChars="0"/>
              <w:rPr>
                <w:rFonts w:ascii="Times New Roman" w:eastAsia="標楷體" w:hAnsi="Times New Roman" w:cs="Times New Roman"/>
              </w:rPr>
            </w:pPr>
            <w:r w:rsidRPr="003151AA">
              <w:rPr>
                <w:rFonts w:ascii="Times New Roman" w:eastAsia="標楷體" w:hAnsi="Times New Roman" w:cs="Times New Roman"/>
              </w:rPr>
              <w:t>與客戶：共創價值</w:t>
            </w:r>
          </w:p>
          <w:p w:rsidR="003151AA" w:rsidRPr="003151AA" w:rsidRDefault="003151AA" w:rsidP="003151AA">
            <w:pPr>
              <w:pStyle w:val="af8"/>
              <w:numPr>
                <w:ilvl w:val="0"/>
                <w:numId w:val="4"/>
              </w:numPr>
              <w:spacing w:before="100" w:beforeAutospacing="1" w:after="100" w:afterAutospacing="1"/>
              <w:ind w:leftChars="0"/>
              <w:rPr>
                <w:rFonts w:ascii="Times New Roman" w:eastAsia="標楷體" w:hAnsi="Times New Roman" w:cs="Times New Roman"/>
              </w:rPr>
            </w:pPr>
            <w:r w:rsidRPr="003151AA">
              <w:rPr>
                <w:rFonts w:ascii="Times New Roman" w:eastAsia="標楷體" w:hAnsi="Times New Roman" w:cs="Times New Roman"/>
              </w:rPr>
              <w:t>對社會：誠信負責</w:t>
            </w:r>
            <w:r w:rsidRPr="003151AA">
              <w:rPr>
                <w:rFonts w:ascii="Times New Roman" w:eastAsia="標楷體" w:hAnsi="Times New Roman" w:cs="Times New Roman"/>
              </w:rPr>
              <w:t xml:space="preserve"> </w:t>
            </w:r>
          </w:p>
          <w:p w:rsidR="003151AA" w:rsidRPr="003151AA" w:rsidRDefault="003151AA" w:rsidP="003151AA">
            <w:pPr>
              <w:pStyle w:val="af8"/>
              <w:numPr>
                <w:ilvl w:val="0"/>
                <w:numId w:val="4"/>
              </w:numPr>
              <w:spacing w:before="100" w:beforeAutospacing="1" w:after="100" w:afterAutospacing="1"/>
              <w:ind w:leftChars="0"/>
              <w:rPr>
                <w:rFonts w:ascii="Times New Roman" w:hAnsi="Times New Roman" w:cs="Times New Roman"/>
              </w:rPr>
            </w:pPr>
            <w:r w:rsidRPr="003151AA">
              <w:rPr>
                <w:rFonts w:ascii="Times New Roman" w:eastAsia="標楷體" w:hAnsi="Times New Roman" w:cs="Times New Roman"/>
              </w:rPr>
              <w:t>持續價值創新及資源優化提升經營績效</w:t>
            </w:r>
            <w:r w:rsidRPr="003151AA">
              <w:rPr>
                <w:rFonts w:ascii="Times New Roman" w:eastAsia="標楷體" w:hAnsi="Times New Roman" w:cs="Times New Roman"/>
              </w:rPr>
              <w:t xml:space="preserve"> </w:t>
            </w:r>
          </w:p>
          <w:p w:rsidR="00CF30B1" w:rsidRPr="00CF30B1" w:rsidRDefault="00CF30B1" w:rsidP="00CF30B1">
            <w:pPr>
              <w:pStyle w:val="af8"/>
              <w:numPr>
                <w:ilvl w:val="0"/>
                <w:numId w:val="4"/>
              </w:numPr>
              <w:ind w:leftChars="0"/>
              <w:rPr>
                <w:rFonts w:ascii="Times New Roman" w:eastAsia="標楷體" w:hAnsi="Times New Roman" w:cs="Times New Roman"/>
              </w:rPr>
            </w:pPr>
            <w:r>
              <w:rPr>
                <w:rFonts w:ascii="Times New Roman" w:eastAsia="標楷體" w:hAnsi="Times New Roman" w:cs="Times New Roman" w:hint="eastAsia"/>
              </w:rPr>
              <w:t>以「誠信、務實、創新、服務」為立業精神</w:t>
            </w:r>
          </w:p>
          <w:p w:rsidR="003151AA" w:rsidRPr="00CF30B1" w:rsidRDefault="00CF30B1" w:rsidP="00CF30B1">
            <w:pPr>
              <w:pStyle w:val="af8"/>
              <w:numPr>
                <w:ilvl w:val="0"/>
                <w:numId w:val="4"/>
              </w:numPr>
              <w:ind w:leftChars="0"/>
              <w:rPr>
                <w:rFonts w:ascii="Times New Roman" w:eastAsia="標楷體" w:hAnsi="Times New Roman" w:cs="Times New Roman"/>
              </w:rPr>
            </w:pPr>
            <w:r w:rsidRPr="00CF30B1">
              <w:rPr>
                <w:rFonts w:ascii="Times New Roman" w:eastAsia="標楷體" w:hAnsi="Times New Roman" w:cs="Times New Roman" w:hint="eastAsia"/>
              </w:rPr>
              <w:t>以「陽光、和諧團結、高效率、幸福成長，善盡社會責任」為企業文化目標</w:t>
            </w:r>
          </w:p>
          <w:p w:rsidR="00CF30B1" w:rsidRPr="00CF30B1" w:rsidRDefault="00CF30B1" w:rsidP="00CF30B1">
            <w:pPr>
              <w:pStyle w:val="af8"/>
              <w:ind w:leftChars="0" w:left="840"/>
              <w:rPr>
                <w:rFonts w:ascii="Times New Roman" w:hAnsi="Times New Roman" w:cs="Times New Roman"/>
              </w:rPr>
            </w:pPr>
          </w:p>
          <w:p w:rsidR="00063522" w:rsidRDefault="00F67072" w:rsidP="00161FE0">
            <w:pPr>
              <w:pStyle w:val="HTML"/>
              <w:spacing w:line="240" w:lineRule="exact"/>
              <w:ind w:rightChars="63" w:right="151"/>
              <w:jc w:val="both"/>
              <w:rPr>
                <w:rFonts w:ascii="Times New Roman" w:eastAsia="標楷體" w:hAnsi="Times New Roman" w:cs="Times New Roman"/>
                <w:b/>
                <w:bCs/>
                <w:sz w:val="24"/>
                <w:szCs w:val="24"/>
              </w:rPr>
            </w:pPr>
            <w:r w:rsidRPr="00BA261F">
              <w:rPr>
                <w:rFonts w:ascii="Times New Roman" w:eastAsia="標楷體" w:hAnsi="Times New Roman" w:cs="Times New Roman"/>
                <w:b/>
                <w:bCs/>
                <w:sz w:val="24"/>
                <w:szCs w:val="24"/>
              </w:rPr>
              <w:t>四、未來展望</w:t>
            </w:r>
          </w:p>
          <w:p w:rsidR="00385C89" w:rsidRDefault="00385C89" w:rsidP="00385C89">
            <w:pPr>
              <w:pStyle w:val="10"/>
              <w:widowControl w:val="0"/>
              <w:spacing w:afterLines="50" w:after="180" w:line="240" w:lineRule="atLeast"/>
              <w:ind w:leftChars="211" w:left="1509" w:hangingChars="418" w:hanging="1003"/>
              <w:rPr>
                <w:lang w:val="zh-TW" w:eastAsia="zh-TW"/>
              </w:rPr>
            </w:pPr>
            <w:r w:rsidRPr="00DE6DCF">
              <w:rPr>
                <w:lang w:val="zh-TW" w:eastAsia="zh-TW"/>
              </w:rPr>
              <w:t>(1)</w:t>
            </w:r>
            <w:r w:rsidRPr="00DE6DCF">
              <w:rPr>
                <w:rFonts w:hint="eastAsia"/>
                <w:lang w:val="zh-TW" w:eastAsia="zh-TW"/>
              </w:rPr>
              <w:t>短期業務發展計畫</w:t>
            </w:r>
          </w:p>
          <w:p w:rsidR="00385C89" w:rsidRDefault="00385C89" w:rsidP="00385C89">
            <w:pPr>
              <w:pStyle w:val="10"/>
              <w:widowControl w:val="0"/>
              <w:numPr>
                <w:ilvl w:val="1"/>
                <w:numId w:val="5"/>
              </w:numPr>
              <w:spacing w:afterLines="50" w:after="180" w:line="240" w:lineRule="atLeast"/>
              <w:ind w:leftChars="327" w:left="1071" w:hangingChars="119" w:hanging="286"/>
              <w:rPr>
                <w:lang w:val="zh-TW" w:eastAsia="zh-TW"/>
              </w:rPr>
            </w:pPr>
            <w:r w:rsidRPr="00DE6DCF">
              <w:rPr>
                <w:rFonts w:hint="eastAsia"/>
                <w:lang w:val="zh-TW" w:eastAsia="zh-TW"/>
              </w:rPr>
              <w:t>針對各產業分析需求，結合客戶新產品開發投入，提出更具有競爭力的產品，以打</w:t>
            </w:r>
            <w:r w:rsidRPr="00DE6DCF">
              <w:rPr>
                <w:rFonts w:hint="eastAsia"/>
                <w:lang w:val="zh-TW" w:eastAsia="zh-TW"/>
              </w:rPr>
              <w:lastRenderedPageBreak/>
              <w:t>入主要客戶的高階產品市場，創造更多利潤。</w:t>
            </w:r>
          </w:p>
          <w:p w:rsidR="00385C89" w:rsidRDefault="00385C89" w:rsidP="00385C89">
            <w:pPr>
              <w:pStyle w:val="10"/>
              <w:widowControl w:val="0"/>
              <w:numPr>
                <w:ilvl w:val="1"/>
                <w:numId w:val="5"/>
              </w:numPr>
              <w:spacing w:afterLines="50" w:after="180" w:line="240" w:lineRule="atLeast"/>
              <w:ind w:leftChars="327" w:left="1071" w:hangingChars="119" w:hanging="286"/>
              <w:rPr>
                <w:lang w:val="zh-TW" w:eastAsia="zh-TW"/>
              </w:rPr>
            </w:pPr>
            <w:r w:rsidRPr="00DE6DCF">
              <w:rPr>
                <w:rFonts w:hint="eastAsia"/>
                <w:lang w:val="zh-TW" w:eastAsia="zh-TW"/>
              </w:rPr>
              <w:t>在既有的客戶內產業橫向展開，積極接觸同產業客戶群進行推廣</w:t>
            </w:r>
            <w:r w:rsidRPr="00385C89">
              <w:rPr>
                <w:rFonts w:hint="eastAsia"/>
                <w:lang w:val="zh-TW" w:eastAsia="zh-TW"/>
              </w:rPr>
              <w:t>，</w:t>
            </w:r>
            <w:r w:rsidRPr="00DE6DCF">
              <w:rPr>
                <w:rFonts w:hint="eastAsia"/>
                <w:lang w:val="zh-TW" w:eastAsia="zh-TW"/>
              </w:rPr>
              <w:t>經營品牌透過客戶協力合作制定產品規格</w:t>
            </w:r>
            <w:r w:rsidRPr="00385C89">
              <w:rPr>
                <w:rFonts w:hint="eastAsia"/>
                <w:lang w:val="zh-TW" w:eastAsia="zh-TW"/>
              </w:rPr>
              <w:t>，</w:t>
            </w:r>
            <w:r w:rsidRPr="00DE6DCF">
              <w:rPr>
                <w:rFonts w:hint="eastAsia"/>
                <w:lang w:val="zh-TW" w:eastAsia="zh-TW"/>
              </w:rPr>
              <w:t>達到市場的領先地位。</w:t>
            </w:r>
          </w:p>
          <w:p w:rsidR="00385C89" w:rsidRDefault="00385C89" w:rsidP="00385C89">
            <w:pPr>
              <w:pStyle w:val="10"/>
              <w:widowControl w:val="0"/>
              <w:spacing w:beforeLines="50" w:before="180" w:afterLines="50" w:after="180" w:line="240" w:lineRule="atLeast"/>
              <w:ind w:leftChars="211" w:left="1509" w:hangingChars="418" w:hanging="1003"/>
              <w:rPr>
                <w:lang w:val="zh-TW" w:eastAsia="zh-TW"/>
              </w:rPr>
            </w:pPr>
            <w:r w:rsidRPr="00DE6DCF">
              <w:rPr>
                <w:lang w:val="zh-TW" w:eastAsia="zh-TW"/>
              </w:rPr>
              <w:t>(2)</w:t>
            </w:r>
            <w:r w:rsidRPr="00DE6DCF">
              <w:rPr>
                <w:rFonts w:hint="eastAsia"/>
                <w:lang w:val="zh-TW" w:eastAsia="zh-TW"/>
              </w:rPr>
              <w:t>長期業務發展計畫</w:t>
            </w:r>
          </w:p>
          <w:p w:rsidR="00385C89" w:rsidRDefault="00385C89" w:rsidP="00385C89">
            <w:pPr>
              <w:pStyle w:val="10"/>
              <w:widowControl w:val="0"/>
              <w:numPr>
                <w:ilvl w:val="0"/>
                <w:numId w:val="7"/>
              </w:numPr>
              <w:spacing w:afterLines="50" w:after="180" w:line="240" w:lineRule="atLeast"/>
              <w:ind w:leftChars="0" w:firstLineChars="0" w:hanging="243"/>
              <w:rPr>
                <w:lang w:val="zh-TW" w:eastAsia="zh-TW"/>
              </w:rPr>
            </w:pPr>
            <w:r w:rsidRPr="00DE6DCF">
              <w:rPr>
                <w:rFonts w:hint="eastAsia"/>
                <w:lang w:val="zh-TW" w:eastAsia="zh-TW"/>
              </w:rPr>
              <w:t>在公司策略經營上的產業，持續跟進主要龍頭客戶產品規格標準與需求的演進，持續推出電磁鐵</w:t>
            </w:r>
            <w:r w:rsidRPr="00385C89">
              <w:rPr>
                <w:rFonts w:hint="eastAsia"/>
                <w:lang w:val="zh-TW" w:eastAsia="zh-TW"/>
              </w:rPr>
              <w:t>、電磁閥、繼電器等</w:t>
            </w:r>
            <w:r w:rsidRPr="00DE6DCF">
              <w:rPr>
                <w:rFonts w:hint="eastAsia"/>
                <w:lang w:val="zh-TW" w:eastAsia="zh-TW"/>
              </w:rPr>
              <w:t>，領先市場及同業發展客戶需求產品。</w:t>
            </w:r>
          </w:p>
          <w:p w:rsidR="00161FE0" w:rsidRPr="00820D20" w:rsidRDefault="00385C89" w:rsidP="00820D20">
            <w:pPr>
              <w:pStyle w:val="10"/>
              <w:widowControl w:val="0"/>
              <w:numPr>
                <w:ilvl w:val="0"/>
                <w:numId w:val="7"/>
              </w:numPr>
              <w:spacing w:afterLines="50" w:after="180" w:line="240" w:lineRule="atLeast"/>
              <w:ind w:leftChars="0" w:firstLineChars="0" w:hanging="243"/>
              <w:rPr>
                <w:lang w:val="zh-TW" w:eastAsia="zh-TW"/>
              </w:rPr>
            </w:pPr>
            <w:r w:rsidRPr="00DE6DCF">
              <w:rPr>
                <w:rFonts w:hint="eastAsia"/>
                <w:lang w:val="zh-TW" w:eastAsia="zh-TW"/>
              </w:rPr>
              <w:t>密切觀察策略發展的產業動態，市場需求的趨勢，在除了電磁鐵</w:t>
            </w:r>
            <w:r w:rsidRPr="00385C89">
              <w:rPr>
                <w:rFonts w:hint="eastAsia"/>
                <w:lang w:val="zh-TW" w:eastAsia="zh-TW"/>
              </w:rPr>
              <w:t>、電磁閥、繼電器等</w:t>
            </w:r>
            <w:r w:rsidRPr="00DE6DCF">
              <w:rPr>
                <w:rFonts w:hint="eastAsia"/>
                <w:lang w:val="zh-TW" w:eastAsia="zh-TW"/>
              </w:rPr>
              <w:t>產品線外，</w:t>
            </w:r>
            <w:r w:rsidRPr="00463786">
              <w:rPr>
                <w:rFonts w:hint="eastAsia"/>
                <w:lang w:val="zh-TW" w:eastAsia="zh-TW"/>
              </w:rPr>
              <w:t>規劃同產業內主要客戶需求的其他具有遠景且符合公司核心競爭力的產品。</w:t>
            </w:r>
          </w:p>
        </w:tc>
      </w:tr>
    </w:tbl>
    <w:p w:rsidR="00161123" w:rsidRDefault="00161123">
      <w:pPr>
        <w:jc w:val="both"/>
        <w:rPr>
          <w:rFonts w:ascii="新細明體" w:hAnsi="新細明體"/>
        </w:rPr>
      </w:pPr>
      <w:r>
        <w:rPr>
          <w:rFonts w:ascii="新細明體" w:hAnsi="新細明體" w:hint="eastAsia"/>
        </w:rPr>
        <w:lastRenderedPageBreak/>
        <w:t xml:space="preserve">                                                                         </w:t>
      </w:r>
    </w:p>
    <w:tbl>
      <w:tblPr>
        <w:tblW w:w="968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701"/>
        <w:gridCol w:w="3645"/>
        <w:gridCol w:w="1800"/>
        <w:gridCol w:w="1260"/>
      </w:tblGrid>
      <w:tr w:rsidR="00161123" w:rsidTr="00217D03">
        <w:trPr>
          <w:cantSplit/>
        </w:trPr>
        <w:tc>
          <w:tcPr>
            <w:tcW w:w="9682" w:type="dxa"/>
            <w:gridSpan w:val="5"/>
          </w:tcPr>
          <w:bookmarkStart w:id="3" w:name="主要業務項目"/>
          <w:bookmarkEnd w:id="3"/>
          <w:p w:rsidR="00161123" w:rsidRPr="00BC38BA" w:rsidRDefault="00450137" w:rsidP="009F4004">
            <w:pPr>
              <w:spacing w:beforeLines="50" w:before="180"/>
              <w:rPr>
                <w:rFonts w:eastAsia="標楷體"/>
                <w:b/>
                <w:bCs/>
              </w:rPr>
            </w:pPr>
            <w:r>
              <w:rPr>
                <w:rFonts w:eastAsia="標楷體"/>
                <w:noProof/>
              </w:rPr>
              <mc:AlternateContent>
                <mc:Choice Requires="wps">
                  <w:drawing>
                    <wp:anchor distT="0" distB="0" distL="114300" distR="114300" simplePos="0" relativeHeight="251653120" behindDoc="1" locked="0" layoutInCell="1" allowOverlap="1" wp14:anchorId="0DCD8BA4" wp14:editId="2172C814">
                      <wp:simplePos x="0" y="0"/>
                      <wp:positionH relativeFrom="column">
                        <wp:posOffset>-13970</wp:posOffset>
                      </wp:positionH>
                      <wp:positionV relativeFrom="paragraph">
                        <wp:posOffset>-5715</wp:posOffset>
                      </wp:positionV>
                      <wp:extent cx="6057900" cy="564515"/>
                      <wp:effectExtent l="1270" t="0" r="0" b="63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E82" w:rsidRDefault="00CA2E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1.1pt;margin-top:-.45pt;width:477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APzwIAANQFAAAOAAAAZHJzL2Uyb0RvYy54bWysVF1vmzAUfZ+0/2D5PQUySAIKqdqmmSZ1&#10;H1I77dkBA9aM7dlOoJv233dtSMrWPkzTiOT4617fc+65d33ZtxwdqTZMihxHFyFGVBSyZKLO8eeH&#10;3WyFkbFElIRLQXP8SA2+3Lx+te5URueykbykGoETYbJO5bixVmVBYIqGtsRcSEUFHFZSt8TCUtdB&#10;qUkH3lsezMNwEXRSl0rLghoDu9vhEG+8/6qihf1YVYZaxHMMsVk/aj/u3Rhs1iSrNVENK8YwyD9E&#10;0RIm4NGzqy2xBB00e+aqZYWWRlb2opBtIKuKFdRjADRR+Aea+4Yo6rEAOUadaTL/z23x4fhJI1bm&#10;eImRIC2k6IH2Fl3LHiWxo6dTJoNb9wru2R72Ic0eqlF3svhqkJA3DRE1vdJadg0lJYQXOctgYjr4&#10;Mc7JvnsvS3iHHKz0jvpKt447YAOBd0jT4zk1LpYCNhdhskxDOCrgLFnESZT4J0h2slba2LdUtshN&#10;cqwh9d47Od4Z66Ih2enKmKhyxzhHWtovzDae6xO02oCNv2WQkoAnHBDren/DNToSUNPt1v3GIGoz&#10;vZ2E8D232PnvRYvIWbxg8uwRQHEOjjOBgHjgIx7MkSkIp5DLgX6vRg/SBceFG4V0oAc6hh1geATr&#10;uPaa/ZFG8zi8nqez3WK1nMW7OJmly3A1C6P0Ol2EcRpvdz8dwCjOGlaWVNwxQU/1E8V/p8+xkgfl&#10;+wpCXY7TZJ4M3EnOztGbKfUera9doMNMr7XMQjvhrM3xauAEoJLMqfJWlH5uCePDPPg9fC8R4OD0&#10;71nxGnayHQRs+33vq+WNS6PT916WjyBqUJFXLrRCmDRSf8eog7aSY/PtQDTFiL8TIKQ0imPXh/wi&#10;TpZzWOjpyX56QkQBrnJsMSTaTW/s0LsOSrO6gZeGUhTyCoqpYl7nT1GNJQitw2Ma25zrTdO1v/XU&#10;jDe/AAAA//8DAFBLAwQUAAYACAAAACEA/Vwsad8AAAAHAQAADwAAAGRycy9kb3ducmV2LnhtbEyP&#10;T0vDQBDF70K/wzIFb+2mATWN2ZRSqaIVoX+g1212TEKzszG7TeO3dzzp6TG8x3u/yRaDbUSPna8d&#10;KZhNIxBIhTM1lQoO+/UkAeGDJqMbR6jgGz0s8tFNplPjrrTFfhdKwSXkU62gCqFNpfRFhVb7qWuR&#10;2Pt0ndWBz66UptNXLreNjKPoXlpdEy9UusVVhcV5d7EK+teXj836DXH5RMf3/cEWD1/PiVK342H5&#10;CCLgEP7C8IvP6JAz08ldyHjRKJjEMSdZ5yDYnt/N+JOTgiSJQOaZ/M+f/wAAAP//AwBQSwECLQAU&#10;AAYACAAAACEAtoM4kv4AAADhAQAAEwAAAAAAAAAAAAAAAAAAAAAAW0NvbnRlbnRfVHlwZXNdLnht&#10;bFBLAQItABQABgAIAAAAIQA4/SH/1gAAAJQBAAALAAAAAAAAAAAAAAAAAC8BAABfcmVscy8ucmVs&#10;c1BLAQItABQABgAIAAAAIQCEH1APzwIAANQFAAAOAAAAAAAAAAAAAAAAAC4CAABkcnMvZTJvRG9j&#10;LnhtbFBLAQItABQABgAIAAAAIQD9XCxp3wAAAAcBAAAPAAAAAAAAAAAAAAAAACkFAABkcnMvZG93&#10;bnJldi54bWxQSwUGAAAAAAQABADzAAAANQYAAAAA&#10;" fillcolor="#ededed" stroked="f">
                      <v:fill rotate="t" focus="50%" type="gradient"/>
                      <v:textbox>
                        <w:txbxContent>
                          <w:p w:rsidR="00CA2E82" w:rsidRDefault="00CA2E82"/>
                        </w:txbxContent>
                      </v:textbox>
                    </v:shape>
                  </w:pict>
                </mc:Fallback>
              </mc:AlternateContent>
            </w:r>
            <w:r w:rsidR="00161123" w:rsidRPr="00BC38BA">
              <w:rPr>
                <w:rFonts w:eastAsia="標楷體"/>
                <w:b/>
                <w:bCs/>
              </w:rPr>
              <w:t>主要業務項目：</w:t>
            </w:r>
          </w:p>
          <w:p w:rsidR="00161123" w:rsidRDefault="000A4BE9" w:rsidP="000A4BE9">
            <w:pPr>
              <w:spacing w:afterLines="50" w:after="180" w:line="300" w:lineRule="exact"/>
              <w:ind w:firstLineChars="200" w:firstLine="480"/>
              <w:rPr>
                <w:rFonts w:ascii="新細明體" w:hAnsi="新細明體"/>
                <w:sz w:val="20"/>
              </w:rPr>
            </w:pPr>
            <w:r w:rsidRPr="000A4BE9">
              <w:rPr>
                <w:rFonts w:eastAsia="標楷體" w:hint="eastAsia"/>
                <w:snapToGrid w:val="0"/>
              </w:rPr>
              <w:t>主要從事電磁鐵、電磁閥、繼電器之製造及銷售、石英晶體銷售等業務</w:t>
            </w:r>
            <w:r>
              <w:rPr>
                <w:rFonts w:ascii="新細明體" w:hAnsi="新細明體" w:hint="eastAsia"/>
                <w:sz w:val="20"/>
              </w:rPr>
              <w:t>。</w:t>
            </w:r>
            <w:r w:rsidR="00161123">
              <w:rPr>
                <w:rFonts w:ascii="新細明體" w:hAnsi="新細明體"/>
                <w:sz w:val="20"/>
              </w:rPr>
              <w:t xml:space="preserve">                         </w:t>
            </w:r>
          </w:p>
        </w:tc>
      </w:tr>
      <w:tr w:rsidR="00161123" w:rsidRPr="007946D0" w:rsidTr="00217D03">
        <w:trPr>
          <w:cantSplit/>
        </w:trPr>
        <w:tc>
          <w:tcPr>
            <w:tcW w:w="9682" w:type="dxa"/>
            <w:gridSpan w:val="5"/>
            <w:vAlign w:val="center"/>
          </w:tcPr>
          <w:p w:rsidR="002708D6" w:rsidRPr="00EF2846" w:rsidRDefault="00161123">
            <w:pPr>
              <w:jc w:val="both"/>
              <w:rPr>
                <w:rFonts w:eastAsia="標楷體"/>
                <w:b/>
              </w:rPr>
            </w:pPr>
            <w:r w:rsidRPr="00EF2846">
              <w:rPr>
                <w:rFonts w:eastAsia="標楷體"/>
                <w:b/>
              </w:rPr>
              <w:t>公司所屬產業之上、中、下游結構圖：</w:t>
            </w:r>
          </w:p>
          <w:p w:rsidR="00EF2846" w:rsidRPr="00EF2846" w:rsidRDefault="00EF2846" w:rsidP="004E02F7">
            <w:pPr>
              <w:ind w:firstLineChars="200" w:firstLine="480"/>
              <w:jc w:val="both"/>
              <w:rPr>
                <w:rFonts w:eastAsia="標楷體"/>
              </w:rPr>
            </w:pPr>
            <w:r w:rsidRPr="00EF2846">
              <w:rPr>
                <w:rFonts w:eastAsia="標楷體" w:hint="eastAsia"/>
              </w:rPr>
              <w:t>本集團為專業電磁鐵、電磁閥、繼電器之研發、製造、銷售廠商，其產品應用相當廣泛，包含家電、汽車、軌道交通、工業設備、金融設備等，因公司不斷開發新產品，目前應用領域不斷擴展。</w:t>
            </w:r>
          </w:p>
          <w:p w:rsidR="00EF2846" w:rsidRPr="007946D0" w:rsidRDefault="00EF2846" w:rsidP="004E02F7">
            <w:pPr>
              <w:ind w:firstLineChars="200" w:firstLine="480"/>
              <w:jc w:val="both"/>
              <w:rPr>
                <w:rFonts w:eastAsia="標楷體"/>
              </w:rPr>
            </w:pPr>
            <w:r w:rsidRPr="00EF2846">
              <w:rPr>
                <w:rFonts w:eastAsia="標楷體" w:hint="eastAsia"/>
              </w:rPr>
              <w:t>在產業鏈中，本集團位於此領域之中游</w:t>
            </w:r>
            <w:r w:rsidRPr="00EF2846">
              <w:rPr>
                <w:rFonts w:eastAsia="標楷體" w:hint="eastAsia"/>
              </w:rPr>
              <w:t>(</w:t>
            </w:r>
            <w:r w:rsidRPr="00EF2846">
              <w:rPr>
                <w:rFonts w:eastAsia="標楷體" w:hint="eastAsia"/>
              </w:rPr>
              <w:t>產業本身</w:t>
            </w:r>
            <w:r w:rsidRPr="00EF2846">
              <w:rPr>
                <w:rFonts w:eastAsia="標楷體" w:hint="eastAsia"/>
              </w:rPr>
              <w:t>)</w:t>
            </w:r>
            <w:r w:rsidRPr="00EF2846">
              <w:rPr>
                <w:rFonts w:eastAsia="標楷體" w:hint="eastAsia"/>
              </w:rPr>
              <w:t>，上游為銅線、引線、</w:t>
            </w:r>
            <w:proofErr w:type="gramStart"/>
            <w:r w:rsidRPr="00EF2846">
              <w:rPr>
                <w:rFonts w:eastAsia="標楷體" w:hint="eastAsia"/>
              </w:rPr>
              <w:t>鐵件</w:t>
            </w:r>
            <w:proofErr w:type="gramEnd"/>
            <w:r w:rsidRPr="00EF2846">
              <w:rPr>
                <w:rFonts w:eastAsia="標楷體" w:hint="eastAsia"/>
              </w:rPr>
              <w:t>、塑膠等原料廠商，下游為家電、工業設備等相關領域的消費市場。</w:t>
            </w:r>
          </w:p>
        </w:tc>
      </w:tr>
      <w:tr w:rsidR="00161123" w:rsidRPr="007946D0" w:rsidTr="00146B6D">
        <w:tc>
          <w:tcPr>
            <w:tcW w:w="1276" w:type="dxa"/>
            <w:shd w:val="clear" w:color="auto" w:fill="F9F9F9"/>
            <w:vAlign w:val="center"/>
          </w:tcPr>
          <w:p w:rsidR="00161123" w:rsidRPr="00750DE3" w:rsidRDefault="00161123">
            <w:pPr>
              <w:snapToGrid w:val="0"/>
              <w:spacing w:line="300" w:lineRule="exact"/>
              <w:jc w:val="distribute"/>
              <w:rPr>
                <w:rFonts w:eastAsia="標楷體"/>
                <w:sz w:val="22"/>
                <w:szCs w:val="22"/>
              </w:rPr>
            </w:pPr>
            <w:r w:rsidRPr="00750DE3">
              <w:rPr>
                <w:rFonts w:eastAsia="標楷體"/>
                <w:sz w:val="22"/>
                <w:szCs w:val="22"/>
              </w:rPr>
              <w:t>產品名稱</w:t>
            </w:r>
          </w:p>
        </w:tc>
        <w:tc>
          <w:tcPr>
            <w:tcW w:w="1701" w:type="dxa"/>
            <w:shd w:val="clear" w:color="auto" w:fill="F9F9F9"/>
            <w:vAlign w:val="center"/>
          </w:tcPr>
          <w:p w:rsidR="00161123" w:rsidRPr="00750DE3" w:rsidRDefault="00161123">
            <w:pPr>
              <w:pStyle w:val="a3"/>
              <w:spacing w:line="300" w:lineRule="exact"/>
              <w:rPr>
                <w:sz w:val="22"/>
                <w:szCs w:val="22"/>
              </w:rPr>
            </w:pPr>
            <w:r w:rsidRPr="00750DE3">
              <w:rPr>
                <w:sz w:val="22"/>
                <w:szCs w:val="22"/>
              </w:rPr>
              <w:t>產品圖示</w:t>
            </w:r>
          </w:p>
          <w:p w:rsidR="00161123" w:rsidRPr="00750DE3" w:rsidRDefault="00161123">
            <w:pPr>
              <w:pStyle w:val="a3"/>
              <w:spacing w:line="300" w:lineRule="exact"/>
              <w:rPr>
                <w:sz w:val="22"/>
                <w:szCs w:val="22"/>
                <w:highlight w:val="yellow"/>
              </w:rPr>
            </w:pPr>
            <w:r w:rsidRPr="00750DE3">
              <w:rPr>
                <w:sz w:val="22"/>
                <w:szCs w:val="22"/>
              </w:rPr>
              <w:t>及介紹</w:t>
            </w:r>
          </w:p>
        </w:tc>
        <w:tc>
          <w:tcPr>
            <w:tcW w:w="3645" w:type="dxa"/>
            <w:shd w:val="clear" w:color="auto" w:fill="F9F9F9"/>
            <w:vAlign w:val="center"/>
          </w:tcPr>
          <w:p w:rsidR="00161123" w:rsidRPr="00750DE3" w:rsidRDefault="00161123">
            <w:pPr>
              <w:pStyle w:val="a3"/>
              <w:spacing w:line="300" w:lineRule="exact"/>
              <w:rPr>
                <w:sz w:val="22"/>
                <w:szCs w:val="22"/>
                <w:highlight w:val="yellow"/>
              </w:rPr>
            </w:pPr>
            <w:r w:rsidRPr="00750DE3">
              <w:rPr>
                <w:sz w:val="22"/>
                <w:szCs w:val="22"/>
              </w:rPr>
              <w:t>重要用途或功能</w:t>
            </w:r>
          </w:p>
        </w:tc>
        <w:tc>
          <w:tcPr>
            <w:tcW w:w="1800" w:type="dxa"/>
            <w:shd w:val="clear" w:color="auto" w:fill="F9F9F9"/>
          </w:tcPr>
          <w:p w:rsidR="00161123" w:rsidRPr="00750DE3" w:rsidRDefault="00161123">
            <w:pPr>
              <w:jc w:val="center"/>
              <w:rPr>
                <w:rFonts w:eastAsia="標楷體"/>
                <w:sz w:val="22"/>
                <w:szCs w:val="22"/>
              </w:rPr>
            </w:pPr>
            <w:r w:rsidRPr="00750DE3">
              <w:rPr>
                <w:rFonts w:eastAsia="標楷體"/>
                <w:sz w:val="22"/>
                <w:szCs w:val="22"/>
              </w:rPr>
              <w:t>最近</w:t>
            </w:r>
            <w:proofErr w:type="gramStart"/>
            <w:r w:rsidRPr="00750DE3">
              <w:rPr>
                <w:rFonts w:eastAsia="標楷體"/>
                <w:sz w:val="22"/>
                <w:szCs w:val="22"/>
              </w:rPr>
              <w:t>一</w:t>
            </w:r>
            <w:proofErr w:type="gramEnd"/>
            <w:r w:rsidRPr="00750DE3">
              <w:rPr>
                <w:rFonts w:eastAsia="標楷體"/>
                <w:sz w:val="22"/>
                <w:szCs w:val="22"/>
              </w:rPr>
              <w:t>年度</w:t>
            </w:r>
          </w:p>
          <w:p w:rsidR="00161123" w:rsidRPr="00750DE3" w:rsidRDefault="00161123">
            <w:pPr>
              <w:jc w:val="center"/>
              <w:rPr>
                <w:rFonts w:eastAsia="標楷體"/>
                <w:sz w:val="22"/>
                <w:szCs w:val="22"/>
              </w:rPr>
            </w:pPr>
            <w:r w:rsidRPr="00750DE3">
              <w:rPr>
                <w:rFonts w:eastAsia="標楷體"/>
                <w:sz w:val="22"/>
                <w:szCs w:val="22"/>
              </w:rPr>
              <w:t>營收金額</w:t>
            </w:r>
            <w:r w:rsidRPr="00750DE3">
              <w:rPr>
                <w:rFonts w:eastAsia="標楷體"/>
                <w:sz w:val="22"/>
                <w:szCs w:val="22"/>
              </w:rPr>
              <w:t>(</w:t>
            </w:r>
            <w:r w:rsidRPr="00750DE3">
              <w:rPr>
                <w:rFonts w:eastAsia="標楷體"/>
                <w:sz w:val="22"/>
                <w:szCs w:val="22"/>
              </w:rPr>
              <w:t>仟元</w:t>
            </w:r>
            <w:r w:rsidRPr="00750DE3">
              <w:rPr>
                <w:rFonts w:eastAsia="標楷體"/>
                <w:sz w:val="22"/>
                <w:szCs w:val="22"/>
              </w:rPr>
              <w:t>)</w:t>
            </w:r>
          </w:p>
        </w:tc>
        <w:tc>
          <w:tcPr>
            <w:tcW w:w="1260" w:type="dxa"/>
            <w:shd w:val="clear" w:color="auto" w:fill="F9F9F9"/>
          </w:tcPr>
          <w:p w:rsidR="00161123" w:rsidRPr="00750DE3" w:rsidRDefault="00161123">
            <w:pPr>
              <w:jc w:val="center"/>
              <w:rPr>
                <w:rFonts w:eastAsia="標楷體"/>
                <w:sz w:val="22"/>
                <w:szCs w:val="22"/>
              </w:rPr>
            </w:pPr>
            <w:proofErr w:type="gramStart"/>
            <w:r w:rsidRPr="00750DE3">
              <w:rPr>
                <w:rFonts w:eastAsia="標楷體"/>
                <w:sz w:val="22"/>
                <w:szCs w:val="22"/>
              </w:rPr>
              <w:t>佔</w:t>
            </w:r>
            <w:proofErr w:type="gramEnd"/>
            <w:r w:rsidRPr="00750DE3">
              <w:rPr>
                <w:rFonts w:eastAsia="標楷體"/>
                <w:sz w:val="22"/>
                <w:szCs w:val="22"/>
              </w:rPr>
              <w:t>總營收</w:t>
            </w:r>
          </w:p>
          <w:p w:rsidR="00161123" w:rsidRPr="00750DE3" w:rsidRDefault="00161123">
            <w:pPr>
              <w:jc w:val="center"/>
              <w:rPr>
                <w:rFonts w:eastAsia="標楷體"/>
                <w:sz w:val="22"/>
                <w:szCs w:val="22"/>
              </w:rPr>
            </w:pPr>
            <w:r w:rsidRPr="00750DE3">
              <w:rPr>
                <w:rFonts w:eastAsia="標楷體"/>
                <w:sz w:val="22"/>
                <w:szCs w:val="22"/>
              </w:rPr>
              <w:t>比重</w:t>
            </w:r>
            <w:r w:rsidRPr="00750DE3">
              <w:rPr>
                <w:rFonts w:eastAsia="標楷體"/>
                <w:sz w:val="22"/>
                <w:szCs w:val="22"/>
              </w:rPr>
              <w:t>(%)</w:t>
            </w:r>
          </w:p>
        </w:tc>
      </w:tr>
      <w:tr w:rsidR="00EF2846" w:rsidRPr="007946D0" w:rsidTr="00146B6D">
        <w:tc>
          <w:tcPr>
            <w:tcW w:w="1276" w:type="dxa"/>
            <w:vAlign w:val="center"/>
          </w:tcPr>
          <w:p w:rsidR="00EF2846" w:rsidRPr="00750DE3" w:rsidRDefault="00EF2846" w:rsidP="00CA2E82">
            <w:pPr>
              <w:tabs>
                <w:tab w:val="left" w:leader="dot" w:pos="6804"/>
                <w:tab w:val="right" w:pos="7598"/>
              </w:tabs>
              <w:snapToGrid w:val="0"/>
              <w:spacing w:line="300" w:lineRule="exact"/>
              <w:jc w:val="distribute"/>
              <w:rPr>
                <w:rFonts w:ascii="標楷體" w:eastAsia="標楷體" w:hAnsi="標楷體"/>
                <w:sz w:val="22"/>
                <w:szCs w:val="22"/>
              </w:rPr>
            </w:pPr>
            <w:r w:rsidRPr="00750DE3">
              <w:rPr>
                <w:rFonts w:ascii="標楷體" w:eastAsia="標楷體" w:hAnsi="標楷體" w:hint="eastAsia"/>
                <w:sz w:val="22"/>
                <w:szCs w:val="22"/>
              </w:rPr>
              <w:t>電磁鐵</w:t>
            </w:r>
          </w:p>
        </w:tc>
        <w:tc>
          <w:tcPr>
            <w:tcW w:w="1701" w:type="dxa"/>
            <w:vAlign w:val="center"/>
          </w:tcPr>
          <w:p w:rsidR="00EF2846" w:rsidRPr="00750DE3" w:rsidRDefault="00146B6D" w:rsidP="00750DE3">
            <w:pPr>
              <w:tabs>
                <w:tab w:val="left" w:leader="dot" w:pos="6804"/>
                <w:tab w:val="right" w:pos="7598"/>
              </w:tabs>
              <w:snapToGrid w:val="0"/>
              <w:spacing w:line="300" w:lineRule="exact"/>
              <w:rPr>
                <w:rFonts w:ascii="標楷體" w:eastAsia="標楷體" w:hAnsi="標楷體"/>
                <w:sz w:val="22"/>
                <w:szCs w:val="22"/>
              </w:rPr>
            </w:pPr>
            <w:r>
              <w:rPr>
                <w:noProof/>
              </w:rPr>
              <w:drawing>
                <wp:anchor distT="0" distB="0" distL="114300" distR="114300" simplePos="0" relativeHeight="251668480" behindDoc="0" locked="0" layoutInCell="1" allowOverlap="1" wp14:anchorId="43CAE7B9" wp14:editId="5A28846A">
                  <wp:simplePos x="0" y="0"/>
                  <wp:positionH relativeFrom="column">
                    <wp:posOffset>28575</wp:posOffset>
                  </wp:positionH>
                  <wp:positionV relativeFrom="paragraph">
                    <wp:posOffset>-3175</wp:posOffset>
                  </wp:positionV>
                  <wp:extent cx="948055" cy="668020"/>
                  <wp:effectExtent l="0" t="0" r="4445"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48055" cy="668020"/>
                          </a:xfrm>
                          <a:prstGeom prst="rect">
                            <a:avLst/>
                          </a:prstGeom>
                        </pic:spPr>
                      </pic:pic>
                    </a:graphicData>
                  </a:graphic>
                  <wp14:sizeRelH relativeFrom="page">
                    <wp14:pctWidth>0</wp14:pctWidth>
                  </wp14:sizeRelH>
                  <wp14:sizeRelV relativeFrom="page">
                    <wp14:pctHeight>0</wp14:pctHeight>
                  </wp14:sizeRelV>
                </wp:anchor>
              </w:drawing>
            </w:r>
          </w:p>
        </w:tc>
        <w:tc>
          <w:tcPr>
            <w:tcW w:w="3645" w:type="dxa"/>
            <w:vAlign w:val="center"/>
          </w:tcPr>
          <w:p w:rsidR="00EF2846" w:rsidRPr="00750DE3" w:rsidRDefault="00EF2846" w:rsidP="00750DE3">
            <w:pPr>
              <w:snapToGrid w:val="0"/>
              <w:spacing w:line="240" w:lineRule="atLeast"/>
              <w:jc w:val="both"/>
              <w:rPr>
                <w:rFonts w:eastAsia="標楷體"/>
                <w:sz w:val="22"/>
                <w:szCs w:val="22"/>
              </w:rPr>
            </w:pPr>
            <w:r w:rsidRPr="00750DE3">
              <w:rPr>
                <w:rFonts w:eastAsia="標楷體"/>
                <w:sz w:val="22"/>
                <w:szCs w:val="22"/>
              </w:rPr>
              <w:t>藉由通電後產生電磁力的改變，讓可動鐵心產生推動或是拉動，配合對象機構件的設計，達成自動化設備之需求。</w:t>
            </w:r>
          </w:p>
        </w:tc>
        <w:tc>
          <w:tcPr>
            <w:tcW w:w="1800" w:type="dxa"/>
            <w:vAlign w:val="center"/>
          </w:tcPr>
          <w:p w:rsidR="00EF2846" w:rsidRPr="00750DE3" w:rsidRDefault="00EF2846" w:rsidP="00EF2846">
            <w:pPr>
              <w:pStyle w:val="a4"/>
              <w:spacing w:line="300" w:lineRule="exact"/>
              <w:ind w:rightChars="71" w:right="170"/>
              <w:jc w:val="right"/>
              <w:rPr>
                <w:color w:val="auto"/>
                <w:sz w:val="22"/>
                <w:szCs w:val="22"/>
              </w:rPr>
            </w:pPr>
            <w:r w:rsidRPr="00750DE3">
              <w:rPr>
                <w:color w:val="auto"/>
                <w:sz w:val="22"/>
                <w:szCs w:val="22"/>
              </w:rPr>
              <w:t>4</w:t>
            </w:r>
            <w:r w:rsidRPr="00750DE3">
              <w:rPr>
                <w:rFonts w:hint="eastAsia"/>
                <w:color w:val="auto"/>
                <w:sz w:val="22"/>
                <w:szCs w:val="22"/>
              </w:rPr>
              <w:t>79,873</w:t>
            </w:r>
          </w:p>
        </w:tc>
        <w:tc>
          <w:tcPr>
            <w:tcW w:w="1260" w:type="dxa"/>
            <w:vAlign w:val="center"/>
          </w:tcPr>
          <w:p w:rsidR="00EF2846" w:rsidRPr="00750DE3" w:rsidRDefault="00EF2846" w:rsidP="00EF2846">
            <w:pPr>
              <w:pStyle w:val="a4"/>
              <w:spacing w:line="300" w:lineRule="exact"/>
              <w:ind w:rightChars="71" w:right="170"/>
              <w:jc w:val="right"/>
              <w:rPr>
                <w:color w:val="auto"/>
                <w:sz w:val="22"/>
                <w:szCs w:val="22"/>
              </w:rPr>
            </w:pPr>
            <w:r w:rsidRPr="00750DE3">
              <w:rPr>
                <w:rFonts w:hint="eastAsia"/>
                <w:color w:val="auto"/>
                <w:sz w:val="22"/>
                <w:szCs w:val="22"/>
              </w:rPr>
              <w:t>66.07</w:t>
            </w:r>
          </w:p>
        </w:tc>
      </w:tr>
      <w:tr w:rsidR="00EF2846" w:rsidRPr="007946D0" w:rsidTr="00146B6D">
        <w:tc>
          <w:tcPr>
            <w:tcW w:w="1276" w:type="dxa"/>
            <w:vAlign w:val="center"/>
          </w:tcPr>
          <w:p w:rsidR="00EF2846" w:rsidRPr="00750DE3" w:rsidRDefault="00EF2846" w:rsidP="00CA2E82">
            <w:pPr>
              <w:tabs>
                <w:tab w:val="left" w:leader="dot" w:pos="6804"/>
                <w:tab w:val="right" w:pos="7598"/>
              </w:tabs>
              <w:snapToGrid w:val="0"/>
              <w:spacing w:line="300" w:lineRule="exact"/>
              <w:jc w:val="distribute"/>
              <w:rPr>
                <w:rFonts w:ascii="標楷體" w:eastAsia="標楷體" w:hAnsi="標楷體"/>
                <w:sz w:val="22"/>
                <w:szCs w:val="22"/>
              </w:rPr>
            </w:pPr>
            <w:r w:rsidRPr="00750DE3">
              <w:rPr>
                <w:rFonts w:ascii="標楷體" w:eastAsia="標楷體" w:hAnsi="標楷體" w:hint="eastAsia"/>
                <w:sz w:val="22"/>
                <w:szCs w:val="22"/>
              </w:rPr>
              <w:t>繼電器</w:t>
            </w:r>
          </w:p>
        </w:tc>
        <w:tc>
          <w:tcPr>
            <w:tcW w:w="1701" w:type="dxa"/>
            <w:vAlign w:val="center"/>
          </w:tcPr>
          <w:p w:rsidR="00EF2846" w:rsidRPr="00750DE3" w:rsidRDefault="00146B6D" w:rsidP="000C0591">
            <w:pPr>
              <w:tabs>
                <w:tab w:val="left" w:leader="dot" w:pos="6804"/>
                <w:tab w:val="right" w:pos="7598"/>
              </w:tabs>
              <w:snapToGrid w:val="0"/>
              <w:spacing w:line="300" w:lineRule="exact"/>
              <w:jc w:val="distribute"/>
              <w:rPr>
                <w:rFonts w:ascii="標楷體" w:eastAsia="標楷體" w:hAnsi="標楷體"/>
                <w:sz w:val="22"/>
                <w:szCs w:val="22"/>
              </w:rPr>
            </w:pPr>
            <w:r>
              <w:rPr>
                <w:noProof/>
              </w:rPr>
              <w:drawing>
                <wp:anchor distT="0" distB="0" distL="114300" distR="114300" simplePos="0" relativeHeight="251669504" behindDoc="0" locked="0" layoutInCell="1" allowOverlap="1" wp14:anchorId="5E882D8F" wp14:editId="2948BE29">
                  <wp:simplePos x="0" y="0"/>
                  <wp:positionH relativeFrom="column">
                    <wp:posOffset>22225</wp:posOffset>
                  </wp:positionH>
                  <wp:positionV relativeFrom="paragraph">
                    <wp:posOffset>-7620</wp:posOffset>
                  </wp:positionV>
                  <wp:extent cx="989330" cy="654685"/>
                  <wp:effectExtent l="0" t="0" r="1270" b="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89330" cy="654685"/>
                          </a:xfrm>
                          <a:prstGeom prst="rect">
                            <a:avLst/>
                          </a:prstGeom>
                        </pic:spPr>
                      </pic:pic>
                    </a:graphicData>
                  </a:graphic>
                  <wp14:sizeRelH relativeFrom="page">
                    <wp14:pctWidth>0</wp14:pctWidth>
                  </wp14:sizeRelH>
                  <wp14:sizeRelV relativeFrom="page">
                    <wp14:pctHeight>0</wp14:pctHeight>
                  </wp14:sizeRelV>
                </wp:anchor>
              </w:drawing>
            </w:r>
          </w:p>
        </w:tc>
        <w:tc>
          <w:tcPr>
            <w:tcW w:w="3645" w:type="dxa"/>
            <w:vAlign w:val="center"/>
          </w:tcPr>
          <w:p w:rsidR="00EF2846" w:rsidRPr="00750DE3" w:rsidRDefault="00EF2846" w:rsidP="00CA2E82">
            <w:pPr>
              <w:snapToGrid w:val="0"/>
              <w:spacing w:line="240" w:lineRule="atLeast"/>
              <w:jc w:val="both"/>
              <w:rPr>
                <w:rFonts w:eastAsia="標楷體"/>
                <w:sz w:val="22"/>
                <w:szCs w:val="22"/>
              </w:rPr>
            </w:pPr>
            <w:r w:rsidRPr="00750DE3">
              <w:rPr>
                <w:rFonts w:eastAsia="標楷體"/>
                <w:sz w:val="22"/>
                <w:szCs w:val="22"/>
              </w:rPr>
              <w:t>電控制器件，在電路中起著自動調節、安全保護、轉換電路等作用，並依產業應用不同，生產不同規格之繼電器。</w:t>
            </w:r>
          </w:p>
        </w:tc>
        <w:tc>
          <w:tcPr>
            <w:tcW w:w="1800" w:type="dxa"/>
            <w:vAlign w:val="center"/>
          </w:tcPr>
          <w:p w:rsidR="00EF2846" w:rsidRPr="00750DE3" w:rsidRDefault="00EF2846" w:rsidP="00EF2846">
            <w:pPr>
              <w:pStyle w:val="a4"/>
              <w:spacing w:line="300" w:lineRule="exact"/>
              <w:ind w:rightChars="71" w:right="170"/>
              <w:jc w:val="right"/>
              <w:rPr>
                <w:color w:val="auto"/>
                <w:sz w:val="22"/>
                <w:szCs w:val="22"/>
              </w:rPr>
            </w:pPr>
            <w:r w:rsidRPr="00750DE3">
              <w:rPr>
                <w:rFonts w:hint="eastAsia"/>
                <w:color w:val="auto"/>
                <w:sz w:val="22"/>
                <w:szCs w:val="22"/>
              </w:rPr>
              <w:t>83,141</w:t>
            </w:r>
          </w:p>
        </w:tc>
        <w:tc>
          <w:tcPr>
            <w:tcW w:w="1260" w:type="dxa"/>
            <w:vAlign w:val="center"/>
          </w:tcPr>
          <w:p w:rsidR="00EF2846" w:rsidRPr="00750DE3" w:rsidRDefault="00EF2846" w:rsidP="00EF2846">
            <w:pPr>
              <w:pStyle w:val="a4"/>
              <w:spacing w:line="300" w:lineRule="exact"/>
              <w:ind w:rightChars="71" w:right="170"/>
              <w:jc w:val="right"/>
              <w:rPr>
                <w:color w:val="auto"/>
                <w:sz w:val="22"/>
                <w:szCs w:val="22"/>
              </w:rPr>
            </w:pPr>
            <w:r w:rsidRPr="00750DE3">
              <w:rPr>
                <w:rFonts w:hint="eastAsia"/>
                <w:color w:val="auto"/>
                <w:sz w:val="22"/>
                <w:szCs w:val="22"/>
              </w:rPr>
              <w:t>11.45</w:t>
            </w:r>
          </w:p>
        </w:tc>
      </w:tr>
      <w:tr w:rsidR="00EF2846" w:rsidRPr="007946D0" w:rsidTr="00146B6D">
        <w:tc>
          <w:tcPr>
            <w:tcW w:w="1276" w:type="dxa"/>
            <w:vAlign w:val="center"/>
          </w:tcPr>
          <w:p w:rsidR="00EF2846" w:rsidRPr="00750DE3" w:rsidRDefault="00EF2846" w:rsidP="00CA2E82">
            <w:pPr>
              <w:tabs>
                <w:tab w:val="left" w:leader="dot" w:pos="6804"/>
                <w:tab w:val="right" w:pos="7598"/>
              </w:tabs>
              <w:snapToGrid w:val="0"/>
              <w:spacing w:line="300" w:lineRule="exact"/>
              <w:jc w:val="distribute"/>
              <w:rPr>
                <w:rFonts w:ascii="標楷體" w:eastAsia="標楷體" w:hAnsi="標楷體"/>
                <w:sz w:val="22"/>
                <w:szCs w:val="22"/>
              </w:rPr>
            </w:pPr>
            <w:r w:rsidRPr="00750DE3">
              <w:rPr>
                <w:rFonts w:ascii="標楷體" w:eastAsia="標楷體" w:hAnsi="標楷體" w:hint="eastAsia"/>
                <w:sz w:val="22"/>
                <w:szCs w:val="22"/>
              </w:rPr>
              <w:t>石英晶體</w:t>
            </w:r>
          </w:p>
        </w:tc>
        <w:tc>
          <w:tcPr>
            <w:tcW w:w="1701" w:type="dxa"/>
            <w:vAlign w:val="center"/>
          </w:tcPr>
          <w:p w:rsidR="00EF2846" w:rsidRPr="00750DE3" w:rsidRDefault="002110C2" w:rsidP="000C0591">
            <w:pPr>
              <w:tabs>
                <w:tab w:val="left" w:leader="dot" w:pos="6804"/>
                <w:tab w:val="right" w:pos="7598"/>
              </w:tabs>
              <w:snapToGrid w:val="0"/>
              <w:spacing w:line="300" w:lineRule="exact"/>
              <w:jc w:val="distribute"/>
              <w:rPr>
                <w:rFonts w:ascii="標楷體" w:eastAsia="標楷體" w:hAnsi="標楷體"/>
                <w:sz w:val="22"/>
                <w:szCs w:val="22"/>
              </w:rPr>
            </w:pPr>
            <w:r>
              <w:rPr>
                <w:rFonts w:ascii="標楷體" w:eastAsia="標楷體" w:hAnsi="標楷體"/>
                <w:noProof/>
                <w:sz w:val="22"/>
                <w:szCs w:val="22"/>
              </w:rPr>
              <w:drawing>
                <wp:anchor distT="0" distB="0" distL="114300" distR="114300" simplePos="0" relativeHeight="251670528" behindDoc="0" locked="0" layoutInCell="1" allowOverlap="1">
                  <wp:simplePos x="0" y="0"/>
                  <wp:positionH relativeFrom="column">
                    <wp:posOffset>22225</wp:posOffset>
                  </wp:positionH>
                  <wp:positionV relativeFrom="paragraph">
                    <wp:posOffset>-52070</wp:posOffset>
                  </wp:positionV>
                  <wp:extent cx="1009650" cy="77089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770890"/>
                          </a:xfrm>
                          <a:prstGeom prst="rect">
                            <a:avLst/>
                          </a:prstGeom>
                          <a:noFill/>
                        </pic:spPr>
                      </pic:pic>
                    </a:graphicData>
                  </a:graphic>
                  <wp14:sizeRelH relativeFrom="page">
                    <wp14:pctWidth>0</wp14:pctWidth>
                  </wp14:sizeRelH>
                  <wp14:sizeRelV relativeFrom="page">
                    <wp14:pctHeight>0</wp14:pctHeight>
                  </wp14:sizeRelV>
                </wp:anchor>
              </w:drawing>
            </w:r>
          </w:p>
        </w:tc>
        <w:tc>
          <w:tcPr>
            <w:tcW w:w="3645" w:type="dxa"/>
            <w:vAlign w:val="center"/>
          </w:tcPr>
          <w:p w:rsidR="00EF2846" w:rsidRPr="00750DE3" w:rsidRDefault="00EF2846" w:rsidP="00CA2E82">
            <w:pPr>
              <w:snapToGrid w:val="0"/>
              <w:spacing w:line="240" w:lineRule="atLeast"/>
              <w:jc w:val="both"/>
              <w:rPr>
                <w:rFonts w:eastAsia="標楷體"/>
                <w:sz w:val="22"/>
                <w:szCs w:val="22"/>
              </w:rPr>
            </w:pPr>
            <w:r w:rsidRPr="00750DE3">
              <w:rPr>
                <w:rFonts w:eastAsia="標楷體"/>
                <w:sz w:val="22"/>
                <w:szCs w:val="22"/>
              </w:rPr>
              <w:t>今日電子產品中的</w:t>
            </w:r>
            <w:r w:rsidRPr="00750DE3">
              <w:rPr>
                <w:rFonts w:eastAsia="標楷體"/>
                <w:sz w:val="22"/>
                <w:szCs w:val="22"/>
              </w:rPr>
              <w:t>IC</w:t>
            </w:r>
            <w:r w:rsidRPr="00750DE3">
              <w:rPr>
                <w:rFonts w:eastAsia="標楷體"/>
                <w:sz w:val="22"/>
                <w:szCs w:val="22"/>
              </w:rPr>
              <w:t>元件要能正確無誤地進行工作，仰賴</w:t>
            </w:r>
            <w:bookmarkStart w:id="4" w:name="_GoBack"/>
            <w:bookmarkEnd w:id="4"/>
            <w:r w:rsidRPr="00750DE3">
              <w:rPr>
                <w:rFonts w:eastAsia="標楷體"/>
                <w:sz w:val="22"/>
                <w:szCs w:val="22"/>
              </w:rPr>
              <w:t>的正是由石英元件所提供的準確時脈信號，高精確度、高可靠度的石英元件，正是電子產品能穩定工作的前提。</w:t>
            </w:r>
          </w:p>
        </w:tc>
        <w:tc>
          <w:tcPr>
            <w:tcW w:w="1800" w:type="dxa"/>
            <w:vAlign w:val="center"/>
          </w:tcPr>
          <w:p w:rsidR="00EF2846" w:rsidRPr="00750DE3" w:rsidRDefault="00EF2846" w:rsidP="00EF2846">
            <w:pPr>
              <w:pStyle w:val="a4"/>
              <w:spacing w:line="300" w:lineRule="exact"/>
              <w:ind w:rightChars="71" w:right="170"/>
              <w:jc w:val="right"/>
              <w:rPr>
                <w:color w:val="auto"/>
                <w:sz w:val="22"/>
                <w:szCs w:val="22"/>
              </w:rPr>
            </w:pPr>
            <w:r w:rsidRPr="00750DE3">
              <w:rPr>
                <w:rFonts w:hint="eastAsia"/>
                <w:color w:val="auto"/>
                <w:sz w:val="22"/>
                <w:szCs w:val="22"/>
              </w:rPr>
              <w:t>56,926</w:t>
            </w:r>
          </w:p>
        </w:tc>
        <w:tc>
          <w:tcPr>
            <w:tcW w:w="1260" w:type="dxa"/>
            <w:vAlign w:val="center"/>
          </w:tcPr>
          <w:p w:rsidR="00EF2846" w:rsidRPr="00750DE3" w:rsidRDefault="00EF2846" w:rsidP="00EF2846">
            <w:pPr>
              <w:pStyle w:val="a4"/>
              <w:spacing w:line="300" w:lineRule="exact"/>
              <w:ind w:rightChars="71" w:right="170"/>
              <w:jc w:val="right"/>
              <w:rPr>
                <w:color w:val="auto"/>
                <w:sz w:val="22"/>
                <w:szCs w:val="22"/>
              </w:rPr>
            </w:pPr>
            <w:r w:rsidRPr="00750DE3">
              <w:rPr>
                <w:rFonts w:hint="eastAsia"/>
                <w:color w:val="auto"/>
                <w:sz w:val="22"/>
                <w:szCs w:val="22"/>
              </w:rPr>
              <w:t>7.84</w:t>
            </w:r>
          </w:p>
        </w:tc>
      </w:tr>
      <w:tr w:rsidR="00EF2846" w:rsidRPr="007946D0" w:rsidTr="00146B6D">
        <w:tc>
          <w:tcPr>
            <w:tcW w:w="1276" w:type="dxa"/>
            <w:vAlign w:val="center"/>
          </w:tcPr>
          <w:p w:rsidR="00EF2846" w:rsidRPr="00750DE3" w:rsidRDefault="00EF2846" w:rsidP="00EF2846">
            <w:pPr>
              <w:tabs>
                <w:tab w:val="left" w:leader="dot" w:pos="6804"/>
                <w:tab w:val="right" w:pos="7598"/>
              </w:tabs>
              <w:snapToGrid w:val="0"/>
              <w:spacing w:line="300" w:lineRule="exact"/>
              <w:jc w:val="distribute"/>
              <w:rPr>
                <w:rFonts w:ascii="標楷體" w:eastAsia="標楷體" w:hAnsi="標楷體"/>
                <w:sz w:val="22"/>
                <w:szCs w:val="22"/>
              </w:rPr>
            </w:pPr>
            <w:r w:rsidRPr="00750DE3">
              <w:rPr>
                <w:rFonts w:ascii="標楷體" w:eastAsia="標楷體" w:hAnsi="標楷體" w:hint="eastAsia"/>
                <w:sz w:val="22"/>
                <w:szCs w:val="22"/>
              </w:rPr>
              <w:t>其他</w:t>
            </w:r>
          </w:p>
        </w:tc>
        <w:tc>
          <w:tcPr>
            <w:tcW w:w="1701" w:type="dxa"/>
            <w:vAlign w:val="center"/>
          </w:tcPr>
          <w:p w:rsidR="00EF2846" w:rsidRPr="00750DE3" w:rsidRDefault="00EF2846" w:rsidP="00CA2E82">
            <w:pPr>
              <w:snapToGrid w:val="0"/>
              <w:spacing w:line="240" w:lineRule="atLeast"/>
              <w:jc w:val="center"/>
              <w:rPr>
                <w:rFonts w:ascii="標楷體" w:eastAsia="標楷體" w:hAnsi="標楷體"/>
                <w:b/>
                <w:bCs/>
                <w:color w:val="FF6600"/>
                <w:sz w:val="22"/>
                <w:szCs w:val="22"/>
              </w:rPr>
            </w:pPr>
            <w:r w:rsidRPr="00750DE3">
              <w:rPr>
                <w:rFonts w:ascii="標楷體" w:eastAsia="標楷體" w:hAnsi="標楷體" w:hint="eastAsia"/>
                <w:b/>
                <w:bCs/>
                <w:sz w:val="22"/>
                <w:szCs w:val="22"/>
              </w:rPr>
              <w:t>-</w:t>
            </w:r>
          </w:p>
        </w:tc>
        <w:tc>
          <w:tcPr>
            <w:tcW w:w="3645" w:type="dxa"/>
            <w:vAlign w:val="center"/>
          </w:tcPr>
          <w:p w:rsidR="00EF2846" w:rsidRPr="00750DE3" w:rsidRDefault="00EF2846" w:rsidP="00CA2E82">
            <w:pPr>
              <w:snapToGrid w:val="0"/>
              <w:spacing w:line="240" w:lineRule="atLeast"/>
              <w:jc w:val="both"/>
              <w:rPr>
                <w:rFonts w:eastAsia="標楷體"/>
                <w:sz w:val="22"/>
                <w:szCs w:val="22"/>
              </w:rPr>
            </w:pPr>
            <w:r w:rsidRPr="00750DE3">
              <w:rPr>
                <w:rFonts w:eastAsia="標楷體"/>
                <w:sz w:val="22"/>
                <w:szCs w:val="22"/>
              </w:rPr>
              <w:t>電磁閥、電子零組件及設備機構零配件。</w:t>
            </w:r>
          </w:p>
        </w:tc>
        <w:tc>
          <w:tcPr>
            <w:tcW w:w="1800" w:type="dxa"/>
            <w:vAlign w:val="center"/>
          </w:tcPr>
          <w:p w:rsidR="00EF2846" w:rsidRPr="00750DE3" w:rsidRDefault="00EF2846" w:rsidP="00EF2846">
            <w:pPr>
              <w:pStyle w:val="a4"/>
              <w:spacing w:line="300" w:lineRule="exact"/>
              <w:ind w:rightChars="71" w:right="170"/>
              <w:jc w:val="right"/>
              <w:rPr>
                <w:color w:val="auto"/>
                <w:sz w:val="22"/>
                <w:szCs w:val="22"/>
              </w:rPr>
            </w:pPr>
            <w:r w:rsidRPr="00750DE3">
              <w:rPr>
                <w:rFonts w:hint="eastAsia"/>
                <w:color w:val="auto"/>
                <w:sz w:val="22"/>
                <w:szCs w:val="22"/>
              </w:rPr>
              <w:t>106,424</w:t>
            </w:r>
          </w:p>
        </w:tc>
        <w:tc>
          <w:tcPr>
            <w:tcW w:w="1260" w:type="dxa"/>
            <w:vAlign w:val="center"/>
          </w:tcPr>
          <w:p w:rsidR="00EF2846" w:rsidRPr="00750DE3" w:rsidRDefault="00EF2846" w:rsidP="00EF2846">
            <w:pPr>
              <w:pStyle w:val="a4"/>
              <w:spacing w:line="300" w:lineRule="exact"/>
              <w:ind w:rightChars="71" w:right="170"/>
              <w:jc w:val="right"/>
              <w:rPr>
                <w:color w:val="auto"/>
                <w:sz w:val="22"/>
                <w:szCs w:val="22"/>
              </w:rPr>
            </w:pPr>
            <w:r w:rsidRPr="00750DE3">
              <w:rPr>
                <w:rFonts w:hint="eastAsia"/>
                <w:color w:val="auto"/>
                <w:sz w:val="22"/>
                <w:szCs w:val="22"/>
              </w:rPr>
              <w:t>14.64</w:t>
            </w:r>
          </w:p>
        </w:tc>
      </w:tr>
      <w:tr w:rsidR="00EF2846" w:rsidRPr="007946D0" w:rsidTr="00217D03">
        <w:trPr>
          <w:cantSplit/>
        </w:trPr>
        <w:tc>
          <w:tcPr>
            <w:tcW w:w="6622" w:type="dxa"/>
            <w:gridSpan w:val="3"/>
            <w:shd w:val="clear" w:color="auto" w:fill="F9F9F9"/>
          </w:tcPr>
          <w:p w:rsidR="00EF2846" w:rsidRPr="00750DE3" w:rsidRDefault="00EF2846">
            <w:pPr>
              <w:jc w:val="both"/>
              <w:rPr>
                <w:rFonts w:eastAsia="標楷體"/>
                <w:sz w:val="22"/>
                <w:szCs w:val="22"/>
              </w:rPr>
            </w:pPr>
            <w:r w:rsidRPr="00750DE3">
              <w:rPr>
                <w:rFonts w:eastAsia="標楷體"/>
                <w:sz w:val="22"/>
                <w:szCs w:val="22"/>
              </w:rPr>
              <w:t>合</w:t>
            </w:r>
            <w:r w:rsidRPr="00750DE3">
              <w:rPr>
                <w:rFonts w:eastAsia="標楷體"/>
                <w:sz w:val="22"/>
                <w:szCs w:val="22"/>
              </w:rPr>
              <w:t xml:space="preserve">     </w:t>
            </w:r>
            <w:r w:rsidRPr="00750DE3">
              <w:rPr>
                <w:rFonts w:eastAsia="標楷體"/>
                <w:sz w:val="22"/>
                <w:szCs w:val="22"/>
              </w:rPr>
              <w:t>計</w:t>
            </w:r>
          </w:p>
        </w:tc>
        <w:tc>
          <w:tcPr>
            <w:tcW w:w="1800" w:type="dxa"/>
            <w:vAlign w:val="center"/>
          </w:tcPr>
          <w:p w:rsidR="00EF2846" w:rsidRPr="00750DE3" w:rsidRDefault="00EF2846" w:rsidP="00EF2846">
            <w:pPr>
              <w:pStyle w:val="a4"/>
              <w:spacing w:line="300" w:lineRule="exact"/>
              <w:ind w:rightChars="71" w:right="170"/>
              <w:jc w:val="right"/>
              <w:rPr>
                <w:color w:val="auto"/>
                <w:sz w:val="22"/>
                <w:szCs w:val="22"/>
              </w:rPr>
            </w:pPr>
            <w:r w:rsidRPr="00750DE3">
              <w:rPr>
                <w:rFonts w:hint="eastAsia"/>
                <w:color w:val="auto"/>
                <w:sz w:val="22"/>
                <w:szCs w:val="22"/>
              </w:rPr>
              <w:t>726,364</w:t>
            </w:r>
          </w:p>
        </w:tc>
        <w:tc>
          <w:tcPr>
            <w:tcW w:w="1260" w:type="dxa"/>
            <w:vAlign w:val="center"/>
          </w:tcPr>
          <w:p w:rsidR="00EF2846" w:rsidRPr="00750DE3" w:rsidRDefault="00EF2846" w:rsidP="00EF2846">
            <w:pPr>
              <w:pStyle w:val="a4"/>
              <w:spacing w:line="300" w:lineRule="exact"/>
              <w:ind w:rightChars="71" w:right="170"/>
              <w:jc w:val="right"/>
              <w:rPr>
                <w:color w:val="auto"/>
                <w:sz w:val="22"/>
                <w:szCs w:val="22"/>
              </w:rPr>
            </w:pPr>
            <w:r w:rsidRPr="00750DE3">
              <w:rPr>
                <w:rFonts w:hint="eastAsia"/>
                <w:color w:val="auto"/>
                <w:sz w:val="22"/>
                <w:szCs w:val="22"/>
              </w:rPr>
              <w:t>100.00</w:t>
            </w:r>
          </w:p>
        </w:tc>
      </w:tr>
    </w:tbl>
    <w:p w:rsidR="00161123" w:rsidRDefault="00B04F87">
      <w:pPr>
        <w:rPr>
          <w:rFonts w:ascii="新細明體" w:hAnsi="新細明體"/>
        </w:rPr>
      </w:pPr>
      <w:r>
        <w:rPr>
          <w:rFonts w:ascii="新細明體" w:hAnsi="新細明體"/>
        </w:rPr>
        <w:br w:type="page"/>
      </w:r>
    </w:p>
    <w:tbl>
      <w:tblPr>
        <w:tblW w:w="10468"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800"/>
      </w:tblGrid>
      <w:tr w:rsidR="00161123" w:rsidTr="00ED7722">
        <w:trPr>
          <w:cantSplit/>
          <w:trHeight w:hRule="exact" w:val="1172"/>
        </w:trPr>
        <w:tc>
          <w:tcPr>
            <w:tcW w:w="10468" w:type="dxa"/>
            <w:gridSpan w:val="8"/>
            <w:tcBorders>
              <w:top w:val="single" w:sz="12" w:space="0" w:color="auto"/>
              <w:left w:val="single" w:sz="12" w:space="0" w:color="auto"/>
              <w:bottom w:val="single" w:sz="6" w:space="0" w:color="auto"/>
              <w:right w:val="single" w:sz="12" w:space="0" w:color="auto"/>
            </w:tcBorders>
            <w:vAlign w:val="center"/>
          </w:tcPr>
          <w:bookmarkStart w:id="5" w:name="最近五年度簡明損益表及申請年度截至最近月份止之自結損益表"/>
          <w:bookmarkEnd w:id="5"/>
          <w:p w:rsidR="00720194" w:rsidRPr="00B04F87" w:rsidRDefault="00450137" w:rsidP="00B04F87">
            <w:pPr>
              <w:jc w:val="center"/>
              <w:rPr>
                <w:rFonts w:eastAsia="標楷體"/>
                <w:b/>
                <w:bCs/>
                <w:sz w:val="28"/>
              </w:rPr>
            </w:pPr>
            <w:r>
              <w:rPr>
                <w:rFonts w:ascii="新細明體" w:hAnsi="新細明體"/>
                <w:noProof/>
              </w:rPr>
              <w:lastRenderedPageBreak/>
              <mc:AlternateContent>
                <mc:Choice Requires="wps">
                  <w:drawing>
                    <wp:anchor distT="0" distB="0" distL="114300" distR="114300" simplePos="0" relativeHeight="251658240" behindDoc="1" locked="0" layoutInCell="1" allowOverlap="1" wp14:anchorId="47B066B7" wp14:editId="55614ACD">
                      <wp:simplePos x="0" y="0"/>
                      <wp:positionH relativeFrom="column">
                        <wp:posOffset>12700</wp:posOffset>
                      </wp:positionH>
                      <wp:positionV relativeFrom="paragraph">
                        <wp:posOffset>-5715</wp:posOffset>
                      </wp:positionV>
                      <wp:extent cx="6642100" cy="1112520"/>
                      <wp:effectExtent l="0" t="3175" r="0" b="0"/>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112520"/>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E82" w:rsidRDefault="00CA2E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left:0;text-align:left;margin-left:1pt;margin-top:-.45pt;width:523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txzgIAANUFAAAOAAAAZHJzL2Uyb0RvYy54bWysVMlu2zAQvRfoPxC8O1ogOZZgOUjiuCiQ&#10;LkBS9ExLlESUIlmStpwW/fcOSdtVmxyKojJAc5vhvDdvZnl1GDjaU22YFBVOLmKMqKhlw0RX4U+P&#10;m9kCI2OJaAiXglb4iRp8tXr9ajmqkqayl7yhGoETYcpRVbi3VpVRZOqeDsRcSEUFHLZSD8TCUndR&#10;o8kI3gcepXE8j0apG6VlTY2B3XU4xCvvv21pbT+0raEW8QpDbNaP2o9bN0arJSk7TVTP6mMY5B+i&#10;GAgT8OjZ1ZpYgnaaPXM1sFpLI1t7Ucshkm3LauoxAJok/gPNQ08U9ViAHKPONJn/57Z+v/+oEWsq&#10;PMdIkAFS9EgPFt3IAyoyR8+oTAm3HhTcswfYhzR7qEbdy/qLQULe9kR09FprOfaUNBBe4iyjiWnw&#10;Y5yT7fhONvAO2VnpHR1aPTjugA0E3iFNT+fUuFhq2JzPszSJ4aiGsyRJ0jz1yYtIeTJX2tg3VA7I&#10;TSqsIffePdnfG+vCIeXpyjFTzYZxjrS0n5ntPdknbJ0BG3/LICUBUBwg6257yzXaE5DT3dr9PFDI&#10;u5nezmP4nlts/PeiBWB70eTZI4DiHBxnAgHzFc6zYI5MTTiFZAb+vRw9SBccF24U0oEOdIQdoPgI&#10;1pHtRfu9SNIsvkmL2Wa+uJxlmyyfFZfxYhYnxU0xj7MiW29+OIBJVvasaai4Z4KeCijJ/k6gx1IO&#10;0vclhMYKF3maB+4kZ+fozZR6j/aUfzO9NjAL/YSzocKLwAlAJaWT5Z1o/NwSxsM8+j18LxHg4PTv&#10;WfEidroNCraH7cGXy7k2trJ5AlWDirx0oRfCpJf6G0Yj9JUKm687oilG/K0AIRVJlrlG5BdZfgky&#10;Rnp6sp2eEFGDqwpbDIl201sbmtdOadb18FKoRSGvoZpa5nXuyi5EdaxB6B0e07HPueY0Xftbv7rx&#10;6icAAAD//wMAUEsDBBQABgAIAAAAIQDkupwO4AAAAAgBAAAPAAAAZHJzL2Rvd25yZXYueG1sTI9P&#10;T8JAEMXvJnyHzZB4gy1IpNRuCdGgEY0JfxKvS3doG7uztbuU+u0dTnqbmffy5vfSZW9r0WHrK0cK&#10;JuMIBFLuTEWFgsN+PYpB+KDJ6NoRKvhBD8tscJPqxLgLbbHbhUJwCPlEKyhDaBIpfV6i1X7sGiTW&#10;Tq61OvDaFtK0+sLhtpbTKLqXVlfEH0rd4GOJ+dfubBV0ry8fb+sN4uqJPt/3B5vPv59jpW6H/eoB&#10;RMA+/Jnhis/okDHT0Z3JeFErmHKToGC0AHFVo1nMhyNP89kdyCyV/wtkvwAAAP//AwBQSwECLQAU&#10;AAYACAAAACEAtoM4kv4AAADhAQAAEwAAAAAAAAAAAAAAAAAAAAAAW0NvbnRlbnRfVHlwZXNdLnht&#10;bFBLAQItABQABgAIAAAAIQA4/SH/1gAAAJQBAAALAAAAAAAAAAAAAAAAAC8BAABfcmVscy8ucmVs&#10;c1BLAQItABQABgAIAAAAIQAvQytxzgIAANUFAAAOAAAAAAAAAAAAAAAAAC4CAABkcnMvZTJvRG9j&#10;LnhtbFBLAQItABQABgAIAAAAIQDkupwO4AAAAAgBAAAPAAAAAAAAAAAAAAAAACgFAABkcnMvZG93&#10;bnJldi54bWxQSwUGAAAAAAQABADzAAAANQYAAAAA&#10;" fillcolor="#ededed" stroked="f">
                      <v:fill rotate="t" focus="50%" type="gradient"/>
                      <v:textbox>
                        <w:txbxContent>
                          <w:p w:rsidR="00CA2E82" w:rsidRDefault="00CA2E82"/>
                        </w:txbxContent>
                      </v:textbox>
                    </v:shape>
                  </w:pict>
                </mc:Fallback>
              </mc:AlternateContent>
            </w:r>
            <w:r w:rsidR="00161123">
              <w:rPr>
                <w:rFonts w:eastAsia="標楷體" w:hAnsi="標楷體"/>
                <w:b/>
                <w:bCs/>
                <w:sz w:val="28"/>
              </w:rPr>
              <w:t>最近</w:t>
            </w:r>
            <w:proofErr w:type="gramStart"/>
            <w:r w:rsidR="00161123">
              <w:rPr>
                <w:rFonts w:eastAsia="標楷體" w:hAnsi="標楷體"/>
                <w:b/>
                <w:bCs/>
                <w:sz w:val="28"/>
              </w:rPr>
              <w:t>五</w:t>
            </w:r>
            <w:proofErr w:type="gramEnd"/>
            <w:r w:rsidR="00161123">
              <w:rPr>
                <w:rFonts w:eastAsia="標楷體" w:hAnsi="標楷體"/>
                <w:b/>
                <w:bCs/>
                <w:sz w:val="28"/>
              </w:rPr>
              <w:t>年度簡明損益表及申請年度截至最近月份止之</w:t>
            </w:r>
            <w:r w:rsidR="00161123" w:rsidRPr="0020043D">
              <w:rPr>
                <w:rFonts w:eastAsia="標楷體" w:hAnsi="標楷體"/>
                <w:b/>
                <w:bCs/>
                <w:sz w:val="28"/>
                <w:u w:val="single"/>
              </w:rPr>
              <w:t>自結</w:t>
            </w:r>
            <w:r w:rsidR="00161123">
              <w:rPr>
                <w:rFonts w:eastAsia="標楷體" w:hAnsi="標楷體"/>
                <w:b/>
                <w:bCs/>
                <w:sz w:val="28"/>
              </w:rPr>
              <w:t>損益表</w:t>
            </w:r>
          </w:p>
          <w:p w:rsidR="00161123" w:rsidRDefault="00161123" w:rsidP="00CA2E82">
            <w:pPr>
              <w:ind w:firstLineChars="3500" w:firstLine="8400"/>
              <w:rPr>
                <w:rFonts w:eastAsia="標楷體"/>
              </w:rPr>
            </w:pPr>
            <w:r>
              <w:rPr>
                <w:rFonts w:eastAsia="標楷體" w:hAnsi="標楷體"/>
              </w:rPr>
              <w:t>單位：新台幣仟元</w:t>
            </w:r>
            <w:r>
              <w:rPr>
                <w:rFonts w:eastAsia="標楷體"/>
              </w:rPr>
              <w:t xml:space="preserve">                     </w:t>
            </w:r>
          </w:p>
        </w:tc>
      </w:tr>
      <w:tr w:rsidR="0019438A" w:rsidTr="00ED7722">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Default="0019438A">
            <w:pPr>
              <w:ind w:left="57" w:right="57"/>
              <w:jc w:val="right"/>
              <w:rPr>
                <w:rFonts w:eastAsia="標楷體"/>
              </w:rPr>
            </w:pPr>
            <w:r>
              <w:rPr>
                <w:rFonts w:eastAsia="標楷體" w:hAnsi="標楷體"/>
              </w:rPr>
              <w:t>年度</w:t>
            </w:r>
          </w:p>
          <w:p w:rsidR="0019438A" w:rsidRDefault="0019438A">
            <w:pPr>
              <w:rPr>
                <w:rFonts w:eastAsia="標楷體"/>
              </w:rPr>
            </w:pPr>
            <w:r>
              <w:rPr>
                <w:rFonts w:eastAsia="標楷體" w:hAnsi="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19438A" w:rsidRPr="00D320A4" w:rsidRDefault="00D769A4" w:rsidP="00161123">
            <w:pPr>
              <w:jc w:val="center"/>
              <w:rPr>
                <w:rFonts w:eastAsia="標楷體"/>
              </w:rPr>
            </w:pPr>
            <w:r w:rsidRPr="00D320A4">
              <w:rPr>
                <w:rFonts w:eastAsia="標楷體"/>
              </w:rPr>
              <w:t>99</w:t>
            </w:r>
            <w:r w:rsidR="0019438A" w:rsidRPr="00D320A4">
              <w:rPr>
                <w:rFonts w:eastAsia="標楷體"/>
              </w:rPr>
              <w:t>年</w:t>
            </w:r>
            <w:r w:rsidR="00B153FB">
              <w:rPr>
                <w:rFonts w:eastAsia="標楷體" w:hint="eastAsia"/>
              </w:rPr>
              <w:t>(</w:t>
            </w:r>
            <w:proofErr w:type="gramStart"/>
            <w:r w:rsidR="00B153FB">
              <w:rPr>
                <w:rFonts w:eastAsia="標楷體" w:hint="eastAsia"/>
              </w:rPr>
              <w:t>註</w:t>
            </w:r>
            <w:proofErr w:type="gramEnd"/>
            <w:r w:rsidR="00B153FB">
              <w:rPr>
                <w:rFonts w:eastAsia="標楷體" w:hint="eastAsia"/>
              </w:rPr>
              <w:t>1)</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D320A4" w:rsidRDefault="00D769A4" w:rsidP="00161123">
            <w:pPr>
              <w:jc w:val="center"/>
              <w:rPr>
                <w:rFonts w:eastAsia="標楷體"/>
              </w:rPr>
            </w:pPr>
            <w:r w:rsidRPr="00D320A4">
              <w:rPr>
                <w:rFonts w:eastAsia="標楷體"/>
              </w:rPr>
              <w:t>100</w:t>
            </w:r>
            <w:r w:rsidR="0019438A" w:rsidRPr="00D320A4">
              <w:rPr>
                <w:rFonts w:eastAsia="標楷體"/>
              </w:rPr>
              <w:t>年</w:t>
            </w:r>
            <w:r w:rsidR="00B153FB">
              <w:rPr>
                <w:rFonts w:eastAsia="標楷體" w:hint="eastAsia"/>
              </w:rPr>
              <w:t>(</w:t>
            </w:r>
            <w:proofErr w:type="gramStart"/>
            <w:r w:rsidR="00B153FB">
              <w:rPr>
                <w:rFonts w:eastAsia="標楷體" w:hint="eastAsia"/>
              </w:rPr>
              <w:t>註</w:t>
            </w:r>
            <w:proofErr w:type="gramEnd"/>
            <w:r w:rsidR="00B153FB">
              <w:rPr>
                <w:rFonts w:eastAsia="標楷體" w:hint="eastAsia"/>
              </w:rPr>
              <w:t>1)</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D320A4" w:rsidRDefault="00D769A4" w:rsidP="00161123">
            <w:pPr>
              <w:jc w:val="center"/>
              <w:rPr>
                <w:rFonts w:eastAsia="標楷體"/>
              </w:rPr>
            </w:pPr>
            <w:r w:rsidRPr="00D320A4">
              <w:rPr>
                <w:rFonts w:eastAsia="標楷體"/>
              </w:rPr>
              <w:t>101</w:t>
            </w:r>
            <w:r w:rsidR="0019438A" w:rsidRPr="00D320A4">
              <w:rPr>
                <w:rFonts w:eastAsia="標楷體"/>
              </w:rPr>
              <w:t>年</w:t>
            </w:r>
            <w:r w:rsidR="00B153FB">
              <w:rPr>
                <w:rFonts w:eastAsia="標楷體" w:hint="eastAsia"/>
              </w:rPr>
              <w:t>(</w:t>
            </w:r>
            <w:proofErr w:type="gramStart"/>
            <w:r w:rsidR="00B153FB">
              <w:rPr>
                <w:rFonts w:eastAsia="標楷體" w:hint="eastAsia"/>
              </w:rPr>
              <w:t>註</w:t>
            </w:r>
            <w:proofErr w:type="gramEnd"/>
            <w:r w:rsidR="00B153FB">
              <w:rPr>
                <w:rFonts w:eastAsia="標楷體" w:hint="eastAsia"/>
              </w:rPr>
              <w:t>1)</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D320A4" w:rsidRDefault="00D769A4" w:rsidP="001A2ED5">
            <w:pPr>
              <w:jc w:val="center"/>
              <w:rPr>
                <w:rFonts w:eastAsia="標楷體"/>
              </w:rPr>
            </w:pPr>
            <w:r w:rsidRPr="00D320A4">
              <w:rPr>
                <w:rFonts w:eastAsia="標楷體"/>
              </w:rPr>
              <w:t>102</w:t>
            </w:r>
            <w:r w:rsidR="0019438A" w:rsidRPr="00D320A4">
              <w:rPr>
                <w:rFonts w:eastAsia="標楷體"/>
              </w:rPr>
              <w:t>年</w:t>
            </w:r>
            <w:r w:rsidR="00B04F87" w:rsidRPr="00D320A4">
              <w:rPr>
                <w:rFonts w:eastAsia="標楷體"/>
              </w:rPr>
              <w:t>(</w:t>
            </w:r>
            <w:proofErr w:type="gramStart"/>
            <w:r w:rsidR="00B04F87" w:rsidRPr="00D320A4">
              <w:rPr>
                <w:rFonts w:eastAsia="標楷體"/>
              </w:rPr>
              <w:t>註</w:t>
            </w:r>
            <w:proofErr w:type="gramEnd"/>
            <w:r w:rsidR="001A2ED5">
              <w:rPr>
                <w:rFonts w:eastAsia="標楷體" w:hint="eastAsia"/>
              </w:rPr>
              <w:t>2</w:t>
            </w:r>
            <w:r w:rsidR="00B04F87" w:rsidRPr="00D320A4">
              <w:rPr>
                <w:rFonts w:eastAsia="標楷體"/>
              </w:rPr>
              <w:t>)</w:t>
            </w:r>
          </w:p>
        </w:tc>
        <w:tc>
          <w:tcPr>
            <w:tcW w:w="1322" w:type="dxa"/>
            <w:tcBorders>
              <w:top w:val="single" w:sz="6" w:space="0" w:color="auto"/>
              <w:left w:val="single" w:sz="6" w:space="0" w:color="auto"/>
              <w:bottom w:val="single" w:sz="6" w:space="0" w:color="auto"/>
              <w:right w:val="single" w:sz="4" w:space="0" w:color="auto"/>
            </w:tcBorders>
            <w:vAlign w:val="center"/>
          </w:tcPr>
          <w:p w:rsidR="0019438A" w:rsidRPr="00D320A4" w:rsidRDefault="00D769A4" w:rsidP="004B3D9E">
            <w:pPr>
              <w:jc w:val="center"/>
              <w:rPr>
                <w:rFonts w:eastAsia="標楷體"/>
              </w:rPr>
            </w:pPr>
            <w:r w:rsidRPr="00D320A4">
              <w:rPr>
                <w:rFonts w:eastAsia="標楷體"/>
              </w:rPr>
              <w:t>103</w:t>
            </w:r>
            <w:r w:rsidR="0019438A" w:rsidRPr="00D320A4">
              <w:rPr>
                <w:rFonts w:eastAsia="標楷體"/>
              </w:rPr>
              <w:t>年</w:t>
            </w:r>
            <w:r w:rsidR="00B04F87" w:rsidRPr="00D320A4">
              <w:rPr>
                <w:rFonts w:eastAsia="標楷體"/>
              </w:rPr>
              <w:t>(</w:t>
            </w:r>
            <w:proofErr w:type="gramStart"/>
            <w:r w:rsidR="00B04F87" w:rsidRPr="00D320A4">
              <w:rPr>
                <w:rFonts w:eastAsia="標楷體"/>
              </w:rPr>
              <w:t>註</w:t>
            </w:r>
            <w:proofErr w:type="gramEnd"/>
            <w:r w:rsidR="004B3D9E">
              <w:rPr>
                <w:rFonts w:eastAsia="標楷體" w:hint="eastAsia"/>
              </w:rPr>
              <w:t>3</w:t>
            </w:r>
            <w:r w:rsidR="00B04F87" w:rsidRPr="00D320A4">
              <w:rPr>
                <w:rFonts w:eastAsia="標楷體"/>
              </w:rPr>
              <w:t>)</w:t>
            </w:r>
          </w:p>
        </w:tc>
        <w:tc>
          <w:tcPr>
            <w:tcW w:w="1800" w:type="dxa"/>
            <w:tcBorders>
              <w:top w:val="single" w:sz="6" w:space="0" w:color="auto"/>
              <w:left w:val="single" w:sz="4" w:space="0" w:color="auto"/>
              <w:bottom w:val="single" w:sz="6" w:space="0" w:color="auto"/>
              <w:right w:val="single" w:sz="12" w:space="0" w:color="auto"/>
            </w:tcBorders>
            <w:vAlign w:val="center"/>
          </w:tcPr>
          <w:p w:rsidR="0019438A" w:rsidRPr="0044499D" w:rsidRDefault="000C42F3">
            <w:pPr>
              <w:jc w:val="center"/>
              <w:rPr>
                <w:rFonts w:eastAsia="標楷體"/>
              </w:rPr>
            </w:pPr>
            <w:r w:rsidRPr="0044499D">
              <w:rPr>
                <w:rFonts w:eastAsia="標楷體"/>
              </w:rPr>
              <w:t>104</w:t>
            </w:r>
            <w:r w:rsidR="0019438A" w:rsidRPr="0044499D">
              <w:rPr>
                <w:rFonts w:eastAsia="標楷體"/>
              </w:rPr>
              <w:t>年</w:t>
            </w:r>
            <w:proofErr w:type="gramStart"/>
            <w:r w:rsidR="0019438A" w:rsidRPr="0044499D">
              <w:rPr>
                <w:rFonts w:eastAsia="標楷體"/>
              </w:rPr>
              <w:t>截</w:t>
            </w:r>
            <w:proofErr w:type="gramEnd"/>
          </w:p>
          <w:p w:rsidR="0020043D" w:rsidRPr="0044499D" w:rsidRDefault="0019438A">
            <w:pPr>
              <w:jc w:val="center"/>
              <w:rPr>
                <w:rFonts w:eastAsia="標楷體"/>
              </w:rPr>
            </w:pPr>
            <w:r w:rsidRPr="0044499D">
              <w:rPr>
                <w:rFonts w:eastAsia="標楷體"/>
              </w:rPr>
              <w:t>至</w:t>
            </w:r>
            <w:r w:rsidR="001646F3">
              <w:rPr>
                <w:rFonts w:eastAsia="標楷體" w:hint="eastAsia"/>
              </w:rPr>
              <w:t>7</w:t>
            </w:r>
            <w:r w:rsidRPr="0044499D">
              <w:rPr>
                <w:rFonts w:eastAsia="標楷體"/>
              </w:rPr>
              <w:t>月份</w:t>
            </w:r>
            <w:proofErr w:type="gramStart"/>
            <w:r w:rsidRPr="0044499D">
              <w:rPr>
                <w:rFonts w:eastAsia="標楷體"/>
              </w:rPr>
              <w:t>止</w:t>
            </w:r>
            <w:proofErr w:type="gramEnd"/>
          </w:p>
          <w:p w:rsidR="00611233" w:rsidRPr="00D320A4" w:rsidRDefault="0020043D" w:rsidP="001A2ED5">
            <w:pPr>
              <w:jc w:val="center"/>
              <w:rPr>
                <w:rFonts w:eastAsia="標楷體"/>
                <w:u w:val="single"/>
              </w:rPr>
            </w:pPr>
            <w:r w:rsidRPr="0044499D">
              <w:rPr>
                <w:rFonts w:eastAsia="標楷體"/>
                <w:u w:val="single"/>
              </w:rPr>
              <w:t>(</w:t>
            </w:r>
            <w:r w:rsidRPr="0044499D">
              <w:rPr>
                <w:rFonts w:eastAsia="標楷體"/>
                <w:u w:val="single"/>
              </w:rPr>
              <w:t>自結數</w:t>
            </w:r>
            <w:r w:rsidRPr="0044499D">
              <w:rPr>
                <w:rFonts w:eastAsia="標楷體"/>
                <w:u w:val="single"/>
              </w:rPr>
              <w:t>)</w:t>
            </w:r>
            <w:r w:rsidR="00611233" w:rsidRPr="0044499D">
              <w:rPr>
                <w:rFonts w:eastAsia="標楷體"/>
              </w:rPr>
              <w:t>(</w:t>
            </w:r>
            <w:proofErr w:type="gramStart"/>
            <w:r w:rsidR="00611233" w:rsidRPr="0044499D">
              <w:rPr>
                <w:rFonts w:eastAsia="標楷體"/>
              </w:rPr>
              <w:t>註</w:t>
            </w:r>
            <w:proofErr w:type="gramEnd"/>
            <w:r w:rsidR="001A2ED5">
              <w:rPr>
                <w:rFonts w:eastAsia="標楷體" w:hint="eastAsia"/>
              </w:rPr>
              <w:t>4</w:t>
            </w:r>
            <w:r w:rsidR="00611233" w:rsidRPr="0044499D">
              <w:rPr>
                <w:rFonts w:eastAsia="標楷體"/>
              </w:rPr>
              <w:t>)</w:t>
            </w:r>
          </w:p>
        </w:tc>
      </w:tr>
      <w:tr w:rsidR="004B3D9E" w:rsidTr="00CA2E82">
        <w:tc>
          <w:tcPr>
            <w:tcW w:w="2098" w:type="dxa"/>
            <w:gridSpan w:val="2"/>
            <w:tcBorders>
              <w:top w:val="single" w:sz="6" w:space="0" w:color="auto"/>
              <w:left w:val="single" w:sz="12" w:space="0" w:color="auto"/>
              <w:bottom w:val="single" w:sz="6" w:space="0" w:color="auto"/>
              <w:right w:val="single" w:sz="6" w:space="0" w:color="auto"/>
            </w:tcBorders>
            <w:vAlign w:val="center"/>
          </w:tcPr>
          <w:p w:rsidR="004B3D9E" w:rsidRDefault="004B3D9E" w:rsidP="00310A3F">
            <w:pPr>
              <w:jc w:val="distribute"/>
              <w:rPr>
                <w:rFonts w:eastAsia="標楷體"/>
              </w:rPr>
            </w:pPr>
            <w:r>
              <w:rPr>
                <w:rFonts w:eastAsia="標楷體" w:hAnsi="標楷體"/>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1,561,241</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1,548,671</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1,449,941</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306,992</w:t>
            </w:r>
          </w:p>
        </w:tc>
        <w:tc>
          <w:tcPr>
            <w:tcW w:w="1322" w:type="dxa"/>
            <w:tcBorders>
              <w:top w:val="single" w:sz="6" w:space="0" w:color="auto"/>
              <w:left w:val="single" w:sz="6" w:space="0" w:color="auto"/>
              <w:bottom w:val="single" w:sz="6" w:space="0" w:color="auto"/>
              <w:right w:val="single" w:sz="4" w:space="0" w:color="auto"/>
            </w:tcBorders>
            <w:vAlign w:val="center"/>
          </w:tcPr>
          <w:p w:rsidR="004B3D9E" w:rsidRPr="004B3D9E" w:rsidRDefault="004B3D9E" w:rsidP="004B3D9E">
            <w:pPr>
              <w:ind w:right="57"/>
              <w:jc w:val="right"/>
              <w:rPr>
                <w:rFonts w:eastAsia="標楷體"/>
              </w:rPr>
            </w:pPr>
            <w:r w:rsidRPr="004B3D9E">
              <w:rPr>
                <w:rFonts w:eastAsia="標楷體"/>
              </w:rPr>
              <w:t>726,364</w:t>
            </w:r>
          </w:p>
        </w:tc>
        <w:tc>
          <w:tcPr>
            <w:tcW w:w="1800" w:type="dxa"/>
            <w:tcBorders>
              <w:top w:val="single" w:sz="6" w:space="0" w:color="auto"/>
              <w:left w:val="single" w:sz="4" w:space="0" w:color="auto"/>
              <w:bottom w:val="single" w:sz="6" w:space="0" w:color="auto"/>
              <w:right w:val="single" w:sz="12" w:space="0" w:color="auto"/>
            </w:tcBorders>
            <w:vAlign w:val="center"/>
          </w:tcPr>
          <w:p w:rsidR="004B3D9E" w:rsidRDefault="004B3D9E" w:rsidP="00310A3F">
            <w:pPr>
              <w:ind w:right="57"/>
              <w:jc w:val="right"/>
              <w:rPr>
                <w:rFonts w:eastAsia="標楷體"/>
              </w:rPr>
            </w:pPr>
            <w:r>
              <w:rPr>
                <w:rFonts w:eastAsia="標楷體" w:hint="eastAsia"/>
              </w:rPr>
              <w:t>386,257</w:t>
            </w:r>
          </w:p>
        </w:tc>
      </w:tr>
      <w:tr w:rsidR="004B3D9E" w:rsidTr="00CA2E82">
        <w:tc>
          <w:tcPr>
            <w:tcW w:w="2098" w:type="dxa"/>
            <w:gridSpan w:val="2"/>
            <w:tcBorders>
              <w:top w:val="single" w:sz="6" w:space="0" w:color="auto"/>
              <w:left w:val="single" w:sz="12" w:space="0" w:color="auto"/>
              <w:bottom w:val="single" w:sz="6" w:space="0" w:color="auto"/>
              <w:right w:val="single" w:sz="6" w:space="0" w:color="auto"/>
            </w:tcBorders>
            <w:vAlign w:val="center"/>
          </w:tcPr>
          <w:p w:rsidR="004B3D9E" w:rsidRDefault="004B3D9E" w:rsidP="00310A3F">
            <w:pPr>
              <w:jc w:val="distribute"/>
              <w:rPr>
                <w:rFonts w:eastAsia="標楷體"/>
              </w:rPr>
            </w:pPr>
            <w:r>
              <w:rPr>
                <w:rFonts w:eastAsia="標楷體" w:hAnsi="標楷體"/>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302,783</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305,698</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266,793</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83,184</w:t>
            </w:r>
          </w:p>
        </w:tc>
        <w:tc>
          <w:tcPr>
            <w:tcW w:w="1322" w:type="dxa"/>
            <w:tcBorders>
              <w:top w:val="single" w:sz="6" w:space="0" w:color="auto"/>
              <w:left w:val="single" w:sz="6" w:space="0" w:color="auto"/>
              <w:bottom w:val="single" w:sz="6" w:space="0" w:color="auto"/>
              <w:right w:val="single" w:sz="4" w:space="0" w:color="auto"/>
            </w:tcBorders>
            <w:vAlign w:val="center"/>
          </w:tcPr>
          <w:p w:rsidR="004B3D9E" w:rsidRPr="004B3D9E" w:rsidRDefault="004B3D9E" w:rsidP="004B3D9E">
            <w:pPr>
              <w:ind w:right="57"/>
              <w:jc w:val="right"/>
              <w:rPr>
                <w:rFonts w:eastAsia="標楷體"/>
              </w:rPr>
            </w:pPr>
            <w:r w:rsidRPr="004B3D9E">
              <w:rPr>
                <w:rFonts w:eastAsia="標楷體"/>
              </w:rPr>
              <w:t>261,292</w:t>
            </w:r>
          </w:p>
        </w:tc>
        <w:tc>
          <w:tcPr>
            <w:tcW w:w="1800" w:type="dxa"/>
            <w:tcBorders>
              <w:top w:val="single" w:sz="6" w:space="0" w:color="auto"/>
              <w:left w:val="single" w:sz="4" w:space="0" w:color="auto"/>
              <w:bottom w:val="single" w:sz="6" w:space="0" w:color="auto"/>
              <w:right w:val="single" w:sz="12" w:space="0" w:color="auto"/>
            </w:tcBorders>
            <w:vAlign w:val="center"/>
          </w:tcPr>
          <w:p w:rsidR="004B3D9E" w:rsidRDefault="004B3D9E" w:rsidP="00310A3F">
            <w:pPr>
              <w:ind w:right="57"/>
              <w:jc w:val="right"/>
              <w:rPr>
                <w:rFonts w:eastAsia="標楷體"/>
              </w:rPr>
            </w:pPr>
            <w:r>
              <w:rPr>
                <w:rFonts w:eastAsia="標楷體" w:hint="eastAsia"/>
              </w:rPr>
              <w:t>147,797</w:t>
            </w:r>
          </w:p>
        </w:tc>
      </w:tr>
      <w:tr w:rsidR="001646F3" w:rsidTr="00CA2E82">
        <w:tc>
          <w:tcPr>
            <w:tcW w:w="2098" w:type="dxa"/>
            <w:gridSpan w:val="2"/>
            <w:tcBorders>
              <w:top w:val="single" w:sz="6" w:space="0" w:color="auto"/>
              <w:left w:val="single" w:sz="12" w:space="0" w:color="auto"/>
              <w:bottom w:val="single" w:sz="6" w:space="0" w:color="auto"/>
              <w:right w:val="single" w:sz="6" w:space="0" w:color="auto"/>
            </w:tcBorders>
            <w:vAlign w:val="center"/>
          </w:tcPr>
          <w:p w:rsidR="001646F3" w:rsidRDefault="001646F3" w:rsidP="00310A3F">
            <w:pPr>
              <w:jc w:val="distribute"/>
              <w:rPr>
                <w:rFonts w:eastAsia="標楷體" w:hAnsi="標楷體"/>
              </w:rPr>
            </w:pPr>
            <w:r>
              <w:rPr>
                <w:rFonts w:eastAsia="標楷體" w:hAnsi="標楷體" w:hint="eastAsia"/>
              </w:rPr>
              <w:t>毛利率</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1646F3" w:rsidRPr="004B3D9E" w:rsidRDefault="004B3D9E" w:rsidP="004B3D9E">
            <w:pPr>
              <w:ind w:right="57"/>
              <w:jc w:val="right"/>
              <w:rPr>
                <w:rFonts w:eastAsia="標楷體"/>
              </w:rPr>
            </w:pPr>
            <w:r>
              <w:rPr>
                <w:rFonts w:eastAsia="標楷體" w:hint="eastAsia"/>
              </w:rPr>
              <w:t>19.39</w:t>
            </w:r>
          </w:p>
        </w:tc>
        <w:tc>
          <w:tcPr>
            <w:tcW w:w="1320" w:type="dxa"/>
            <w:tcBorders>
              <w:top w:val="single" w:sz="6" w:space="0" w:color="auto"/>
              <w:left w:val="single" w:sz="6" w:space="0" w:color="auto"/>
              <w:bottom w:val="single" w:sz="6" w:space="0" w:color="auto"/>
              <w:right w:val="single" w:sz="6" w:space="0" w:color="auto"/>
            </w:tcBorders>
            <w:vAlign w:val="center"/>
          </w:tcPr>
          <w:p w:rsidR="001646F3" w:rsidRPr="004B3D9E" w:rsidRDefault="004B3D9E" w:rsidP="004B3D9E">
            <w:pPr>
              <w:ind w:right="57"/>
              <w:jc w:val="right"/>
              <w:rPr>
                <w:rFonts w:eastAsia="標楷體"/>
              </w:rPr>
            </w:pPr>
            <w:r>
              <w:rPr>
                <w:rFonts w:eastAsia="標楷體" w:hint="eastAsia"/>
              </w:rPr>
              <w:t>19.74</w:t>
            </w:r>
          </w:p>
        </w:tc>
        <w:tc>
          <w:tcPr>
            <w:tcW w:w="1320" w:type="dxa"/>
            <w:tcBorders>
              <w:top w:val="single" w:sz="6" w:space="0" w:color="auto"/>
              <w:left w:val="single" w:sz="6" w:space="0" w:color="auto"/>
              <w:bottom w:val="single" w:sz="6" w:space="0" w:color="auto"/>
              <w:right w:val="single" w:sz="6" w:space="0" w:color="auto"/>
            </w:tcBorders>
            <w:vAlign w:val="center"/>
          </w:tcPr>
          <w:p w:rsidR="001646F3" w:rsidRPr="004B3D9E" w:rsidRDefault="004B3D9E" w:rsidP="004B3D9E">
            <w:pPr>
              <w:ind w:right="57"/>
              <w:jc w:val="right"/>
              <w:rPr>
                <w:rFonts w:eastAsia="標楷體"/>
              </w:rPr>
            </w:pPr>
            <w:r>
              <w:rPr>
                <w:rFonts w:eastAsia="標楷體" w:hint="eastAsia"/>
              </w:rPr>
              <w:t>18.40</w:t>
            </w:r>
          </w:p>
        </w:tc>
        <w:tc>
          <w:tcPr>
            <w:tcW w:w="1320" w:type="dxa"/>
            <w:tcBorders>
              <w:top w:val="single" w:sz="6" w:space="0" w:color="auto"/>
              <w:left w:val="single" w:sz="6" w:space="0" w:color="auto"/>
              <w:bottom w:val="single" w:sz="6" w:space="0" w:color="auto"/>
              <w:right w:val="single" w:sz="6" w:space="0" w:color="auto"/>
            </w:tcBorders>
            <w:vAlign w:val="center"/>
          </w:tcPr>
          <w:p w:rsidR="001646F3" w:rsidRPr="004B3D9E" w:rsidRDefault="004B3D9E" w:rsidP="004B3D9E">
            <w:pPr>
              <w:ind w:right="57"/>
              <w:jc w:val="right"/>
              <w:rPr>
                <w:rFonts w:eastAsia="標楷體"/>
              </w:rPr>
            </w:pPr>
            <w:r>
              <w:rPr>
                <w:rFonts w:eastAsia="標楷體" w:hint="eastAsia"/>
              </w:rPr>
              <w:t>27.10</w:t>
            </w:r>
          </w:p>
        </w:tc>
        <w:tc>
          <w:tcPr>
            <w:tcW w:w="1322" w:type="dxa"/>
            <w:tcBorders>
              <w:top w:val="single" w:sz="6" w:space="0" w:color="auto"/>
              <w:left w:val="single" w:sz="6" w:space="0" w:color="auto"/>
              <w:bottom w:val="single" w:sz="6" w:space="0" w:color="auto"/>
              <w:right w:val="single" w:sz="4" w:space="0" w:color="auto"/>
            </w:tcBorders>
            <w:vAlign w:val="center"/>
          </w:tcPr>
          <w:p w:rsidR="001646F3" w:rsidRPr="004B3D9E" w:rsidRDefault="004B3D9E" w:rsidP="004B3D9E">
            <w:pPr>
              <w:ind w:right="57"/>
              <w:jc w:val="right"/>
              <w:rPr>
                <w:rFonts w:eastAsia="標楷體"/>
              </w:rPr>
            </w:pPr>
            <w:r>
              <w:rPr>
                <w:rFonts w:eastAsia="標楷體" w:hint="eastAsia"/>
              </w:rPr>
              <w:t>35.97</w:t>
            </w:r>
          </w:p>
        </w:tc>
        <w:tc>
          <w:tcPr>
            <w:tcW w:w="1800" w:type="dxa"/>
            <w:tcBorders>
              <w:top w:val="single" w:sz="6" w:space="0" w:color="auto"/>
              <w:left w:val="single" w:sz="4" w:space="0" w:color="auto"/>
              <w:bottom w:val="single" w:sz="6" w:space="0" w:color="auto"/>
              <w:right w:val="single" w:sz="12" w:space="0" w:color="auto"/>
            </w:tcBorders>
            <w:vAlign w:val="center"/>
          </w:tcPr>
          <w:p w:rsidR="001646F3" w:rsidRDefault="000F5D4C" w:rsidP="00310A3F">
            <w:pPr>
              <w:ind w:right="57"/>
              <w:jc w:val="right"/>
              <w:rPr>
                <w:rFonts w:eastAsia="標楷體"/>
              </w:rPr>
            </w:pPr>
            <w:r>
              <w:rPr>
                <w:rFonts w:eastAsia="標楷體" w:hint="eastAsia"/>
              </w:rPr>
              <w:t>38.26</w:t>
            </w:r>
          </w:p>
        </w:tc>
      </w:tr>
      <w:tr w:rsidR="004B3D9E" w:rsidTr="00CA2E82">
        <w:tc>
          <w:tcPr>
            <w:tcW w:w="2098" w:type="dxa"/>
            <w:gridSpan w:val="2"/>
            <w:tcBorders>
              <w:top w:val="single" w:sz="6" w:space="0" w:color="auto"/>
              <w:left w:val="single" w:sz="12" w:space="0" w:color="auto"/>
              <w:bottom w:val="single" w:sz="6" w:space="0" w:color="auto"/>
              <w:right w:val="single" w:sz="6" w:space="0" w:color="auto"/>
            </w:tcBorders>
            <w:vAlign w:val="center"/>
          </w:tcPr>
          <w:p w:rsidR="004B3D9E" w:rsidRDefault="004B3D9E" w:rsidP="001A2ED5">
            <w:pPr>
              <w:jc w:val="distribute"/>
              <w:rPr>
                <w:rFonts w:eastAsia="標楷體"/>
              </w:rPr>
            </w:pPr>
            <w:r>
              <w:rPr>
                <w:rFonts w:eastAsia="標楷體" w:hAnsi="標楷體"/>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36,220</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57,160</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45,451</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60,490</w:t>
            </w:r>
          </w:p>
        </w:tc>
        <w:tc>
          <w:tcPr>
            <w:tcW w:w="1322" w:type="dxa"/>
            <w:tcBorders>
              <w:top w:val="single" w:sz="6" w:space="0" w:color="auto"/>
              <w:left w:val="single" w:sz="6" w:space="0" w:color="auto"/>
              <w:bottom w:val="single" w:sz="6" w:space="0" w:color="auto"/>
              <w:right w:val="single" w:sz="4" w:space="0" w:color="auto"/>
            </w:tcBorders>
            <w:vAlign w:val="center"/>
          </w:tcPr>
          <w:p w:rsidR="004B3D9E" w:rsidRPr="004B3D9E" w:rsidRDefault="004B3D9E" w:rsidP="004B3D9E">
            <w:pPr>
              <w:ind w:right="57"/>
              <w:jc w:val="right"/>
              <w:rPr>
                <w:rFonts w:eastAsia="標楷體"/>
              </w:rPr>
            </w:pPr>
            <w:r w:rsidRPr="004B3D9E">
              <w:rPr>
                <w:rFonts w:eastAsia="標楷體"/>
              </w:rPr>
              <w:t>18,040</w:t>
            </w:r>
          </w:p>
        </w:tc>
        <w:tc>
          <w:tcPr>
            <w:tcW w:w="1800" w:type="dxa"/>
            <w:tcBorders>
              <w:top w:val="single" w:sz="6" w:space="0" w:color="auto"/>
              <w:left w:val="single" w:sz="4" w:space="0" w:color="auto"/>
              <w:bottom w:val="single" w:sz="6" w:space="0" w:color="auto"/>
              <w:right w:val="single" w:sz="12" w:space="0" w:color="auto"/>
            </w:tcBorders>
            <w:vAlign w:val="center"/>
          </w:tcPr>
          <w:p w:rsidR="004B3D9E" w:rsidRDefault="004B3D9E" w:rsidP="001A2ED5">
            <w:pPr>
              <w:ind w:right="57"/>
              <w:jc w:val="right"/>
              <w:rPr>
                <w:rFonts w:eastAsia="標楷體"/>
              </w:rPr>
            </w:pPr>
            <w:r>
              <w:rPr>
                <w:rFonts w:eastAsia="標楷體" w:hint="eastAsia"/>
              </w:rPr>
              <w:t>13,557</w:t>
            </w:r>
          </w:p>
        </w:tc>
      </w:tr>
      <w:tr w:rsidR="004B3D9E" w:rsidTr="00CA2E82">
        <w:tc>
          <w:tcPr>
            <w:tcW w:w="2098" w:type="dxa"/>
            <w:gridSpan w:val="2"/>
            <w:tcBorders>
              <w:top w:val="single" w:sz="6" w:space="0" w:color="auto"/>
              <w:left w:val="single" w:sz="12" w:space="0" w:color="auto"/>
              <w:bottom w:val="single" w:sz="6" w:space="0" w:color="auto"/>
              <w:right w:val="single" w:sz="6" w:space="0" w:color="auto"/>
            </w:tcBorders>
            <w:vAlign w:val="center"/>
          </w:tcPr>
          <w:p w:rsidR="004B3D9E" w:rsidRDefault="004B3D9E" w:rsidP="001A2ED5">
            <w:pPr>
              <w:jc w:val="distribute"/>
              <w:rPr>
                <w:rFonts w:eastAsia="標楷體" w:hAnsi="標楷體"/>
              </w:rPr>
            </w:pPr>
            <w:r>
              <w:rPr>
                <w:rFonts w:eastAsia="標楷體" w:hAnsi="標楷體"/>
              </w:rPr>
              <w:t>營業外</w:t>
            </w:r>
            <w:r>
              <w:rPr>
                <w:rFonts w:eastAsia="標楷體" w:hAnsi="標楷體" w:hint="eastAsia"/>
              </w:rPr>
              <w:t>支出</w:t>
            </w:r>
          </w:p>
        </w:tc>
        <w:tc>
          <w:tcPr>
            <w:tcW w:w="1288"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6,465</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4,445</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5,428</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6,368</w:t>
            </w:r>
          </w:p>
        </w:tc>
        <w:tc>
          <w:tcPr>
            <w:tcW w:w="1322" w:type="dxa"/>
            <w:tcBorders>
              <w:top w:val="single" w:sz="6" w:space="0" w:color="auto"/>
              <w:left w:val="single" w:sz="6" w:space="0" w:color="auto"/>
              <w:bottom w:val="single" w:sz="6" w:space="0" w:color="auto"/>
              <w:right w:val="single" w:sz="4" w:space="0" w:color="auto"/>
            </w:tcBorders>
            <w:vAlign w:val="center"/>
          </w:tcPr>
          <w:p w:rsidR="004B3D9E" w:rsidRPr="004B3D9E" w:rsidRDefault="004B3D9E" w:rsidP="004B3D9E">
            <w:pPr>
              <w:ind w:right="57"/>
              <w:jc w:val="right"/>
              <w:rPr>
                <w:rFonts w:eastAsia="標楷體"/>
              </w:rPr>
            </w:pPr>
            <w:r w:rsidRPr="004B3D9E">
              <w:rPr>
                <w:rFonts w:eastAsia="標楷體"/>
              </w:rPr>
              <w:t>4,962</w:t>
            </w:r>
          </w:p>
        </w:tc>
        <w:tc>
          <w:tcPr>
            <w:tcW w:w="1800" w:type="dxa"/>
            <w:tcBorders>
              <w:top w:val="single" w:sz="6" w:space="0" w:color="auto"/>
              <w:left w:val="single" w:sz="4" w:space="0" w:color="auto"/>
              <w:bottom w:val="single" w:sz="6" w:space="0" w:color="auto"/>
              <w:right w:val="single" w:sz="12" w:space="0" w:color="auto"/>
            </w:tcBorders>
            <w:vAlign w:val="center"/>
          </w:tcPr>
          <w:p w:rsidR="004B3D9E" w:rsidRDefault="004B3D9E" w:rsidP="00310A3F">
            <w:pPr>
              <w:ind w:right="57"/>
              <w:jc w:val="right"/>
              <w:rPr>
                <w:rFonts w:eastAsia="標楷體"/>
              </w:rPr>
            </w:pPr>
            <w:r>
              <w:rPr>
                <w:rFonts w:eastAsia="標楷體" w:hint="eastAsia"/>
              </w:rPr>
              <w:t>2,113</w:t>
            </w:r>
          </w:p>
        </w:tc>
      </w:tr>
      <w:tr w:rsidR="004B3D9E" w:rsidTr="00CA2E82">
        <w:tc>
          <w:tcPr>
            <w:tcW w:w="2098" w:type="dxa"/>
            <w:gridSpan w:val="2"/>
            <w:tcBorders>
              <w:top w:val="single" w:sz="6" w:space="0" w:color="auto"/>
              <w:left w:val="single" w:sz="12" w:space="0" w:color="auto"/>
              <w:bottom w:val="single" w:sz="6" w:space="0" w:color="auto"/>
              <w:right w:val="single" w:sz="6" w:space="0" w:color="auto"/>
            </w:tcBorders>
            <w:vAlign w:val="center"/>
          </w:tcPr>
          <w:p w:rsidR="004B3D9E" w:rsidRDefault="004B3D9E" w:rsidP="00310A3F">
            <w:pPr>
              <w:jc w:val="distribute"/>
              <w:rPr>
                <w:rFonts w:eastAsia="標楷體"/>
              </w:rPr>
            </w:pPr>
            <w:r>
              <w:rPr>
                <w:rFonts w:eastAsia="標楷體" w:hAnsi="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60,679</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65,971</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51,841</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68,324</w:t>
            </w:r>
          </w:p>
        </w:tc>
        <w:tc>
          <w:tcPr>
            <w:tcW w:w="1322" w:type="dxa"/>
            <w:tcBorders>
              <w:top w:val="single" w:sz="6" w:space="0" w:color="auto"/>
              <w:left w:val="single" w:sz="6" w:space="0" w:color="auto"/>
              <w:bottom w:val="single" w:sz="6" w:space="0" w:color="auto"/>
              <w:right w:val="single" w:sz="4" w:space="0" w:color="auto"/>
            </w:tcBorders>
            <w:vAlign w:val="center"/>
          </w:tcPr>
          <w:p w:rsidR="004B3D9E" w:rsidRPr="004B3D9E" w:rsidRDefault="004B3D9E" w:rsidP="004B3D9E">
            <w:pPr>
              <w:ind w:right="57"/>
              <w:jc w:val="right"/>
              <w:rPr>
                <w:rFonts w:eastAsia="標楷體"/>
              </w:rPr>
            </w:pPr>
            <w:r w:rsidRPr="004B3D9E">
              <w:rPr>
                <w:rFonts w:eastAsia="標楷體" w:hint="eastAsia"/>
              </w:rPr>
              <w:t>104,578</w:t>
            </w:r>
          </w:p>
        </w:tc>
        <w:tc>
          <w:tcPr>
            <w:tcW w:w="1800" w:type="dxa"/>
            <w:tcBorders>
              <w:top w:val="single" w:sz="6" w:space="0" w:color="auto"/>
              <w:left w:val="single" w:sz="4" w:space="0" w:color="auto"/>
              <w:bottom w:val="single" w:sz="6" w:space="0" w:color="auto"/>
              <w:right w:val="single" w:sz="12" w:space="0" w:color="auto"/>
            </w:tcBorders>
            <w:vAlign w:val="center"/>
          </w:tcPr>
          <w:p w:rsidR="004B3D9E" w:rsidRDefault="004B3D9E" w:rsidP="00310A3F">
            <w:pPr>
              <w:ind w:right="57"/>
              <w:jc w:val="right"/>
              <w:rPr>
                <w:rFonts w:eastAsia="標楷體"/>
              </w:rPr>
            </w:pPr>
            <w:r>
              <w:rPr>
                <w:rFonts w:eastAsia="標楷體" w:hint="eastAsia"/>
              </w:rPr>
              <w:t>67,973</w:t>
            </w:r>
          </w:p>
        </w:tc>
      </w:tr>
      <w:tr w:rsidR="004B3D9E" w:rsidTr="00ED7722">
        <w:tc>
          <w:tcPr>
            <w:tcW w:w="2098" w:type="dxa"/>
            <w:gridSpan w:val="2"/>
            <w:tcBorders>
              <w:top w:val="single" w:sz="6" w:space="0" w:color="auto"/>
              <w:left w:val="single" w:sz="12" w:space="0" w:color="auto"/>
              <w:bottom w:val="single" w:sz="6" w:space="0" w:color="auto"/>
              <w:right w:val="single" w:sz="6" w:space="0" w:color="auto"/>
            </w:tcBorders>
            <w:vAlign w:val="center"/>
          </w:tcPr>
          <w:p w:rsidR="004B3D9E" w:rsidRDefault="004B3D9E" w:rsidP="00310A3F">
            <w:pPr>
              <w:jc w:val="distribute"/>
              <w:rPr>
                <w:rFonts w:eastAsia="標楷體"/>
              </w:rPr>
            </w:pPr>
            <w:r>
              <w:rPr>
                <w:rFonts w:eastAsia="標楷體" w:hAnsi="標楷體"/>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54,093</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53,262</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38,721</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54,971</w:t>
            </w:r>
          </w:p>
        </w:tc>
        <w:tc>
          <w:tcPr>
            <w:tcW w:w="1322" w:type="dxa"/>
            <w:tcBorders>
              <w:top w:val="single" w:sz="6" w:space="0" w:color="auto"/>
              <w:left w:val="single" w:sz="6" w:space="0" w:color="auto"/>
              <w:bottom w:val="single" w:sz="6" w:space="0" w:color="auto"/>
              <w:right w:val="single" w:sz="4" w:space="0" w:color="auto"/>
            </w:tcBorders>
            <w:vAlign w:val="center"/>
          </w:tcPr>
          <w:p w:rsidR="004B3D9E" w:rsidRPr="004B3D9E" w:rsidRDefault="004B3D9E" w:rsidP="004B3D9E">
            <w:pPr>
              <w:ind w:right="57"/>
              <w:jc w:val="right"/>
              <w:rPr>
                <w:rFonts w:eastAsia="標楷體"/>
              </w:rPr>
            </w:pPr>
            <w:r w:rsidRPr="004B3D9E">
              <w:rPr>
                <w:rFonts w:eastAsia="標楷體" w:hint="eastAsia"/>
              </w:rPr>
              <w:t>71,114</w:t>
            </w:r>
          </w:p>
        </w:tc>
        <w:tc>
          <w:tcPr>
            <w:tcW w:w="1800" w:type="dxa"/>
            <w:tcBorders>
              <w:top w:val="single" w:sz="6" w:space="0" w:color="auto"/>
              <w:left w:val="single" w:sz="4" w:space="0" w:color="auto"/>
              <w:bottom w:val="single" w:sz="6" w:space="0" w:color="auto"/>
              <w:right w:val="single" w:sz="12" w:space="0" w:color="auto"/>
            </w:tcBorders>
            <w:vAlign w:val="center"/>
          </w:tcPr>
          <w:p w:rsidR="004B3D9E" w:rsidRDefault="004B3D9E" w:rsidP="00310A3F">
            <w:pPr>
              <w:ind w:right="57"/>
              <w:jc w:val="right"/>
              <w:rPr>
                <w:rFonts w:eastAsia="標楷體"/>
              </w:rPr>
            </w:pPr>
            <w:r>
              <w:rPr>
                <w:rFonts w:eastAsia="標楷體" w:hint="eastAsia"/>
              </w:rPr>
              <w:t>48,709</w:t>
            </w:r>
          </w:p>
        </w:tc>
      </w:tr>
      <w:tr w:rsidR="004B3D9E" w:rsidTr="00CA2E82">
        <w:tc>
          <w:tcPr>
            <w:tcW w:w="2098" w:type="dxa"/>
            <w:gridSpan w:val="2"/>
            <w:tcBorders>
              <w:top w:val="single" w:sz="6" w:space="0" w:color="auto"/>
              <w:left w:val="single" w:sz="12" w:space="0" w:color="auto"/>
              <w:bottom w:val="single" w:sz="6" w:space="0" w:color="auto"/>
              <w:right w:val="single" w:sz="6" w:space="0" w:color="auto"/>
            </w:tcBorders>
            <w:vAlign w:val="center"/>
          </w:tcPr>
          <w:p w:rsidR="004B3D9E" w:rsidRDefault="004B3D9E" w:rsidP="00310A3F">
            <w:pPr>
              <w:jc w:val="distribute"/>
              <w:rPr>
                <w:rFonts w:eastAsia="標楷體"/>
              </w:rPr>
            </w:pPr>
            <w:r>
              <w:rPr>
                <w:rFonts w:eastAsia="標楷體" w:hAnsi="標楷體"/>
              </w:rPr>
              <w:t>每股盈餘（元）</w:t>
            </w:r>
          </w:p>
        </w:tc>
        <w:tc>
          <w:tcPr>
            <w:tcW w:w="1288"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2.44</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2.41</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1.75</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4B3D9E" w:rsidRDefault="004B3D9E" w:rsidP="004B3D9E">
            <w:pPr>
              <w:ind w:right="57"/>
              <w:jc w:val="right"/>
              <w:rPr>
                <w:rFonts w:eastAsia="標楷體"/>
              </w:rPr>
            </w:pPr>
            <w:r w:rsidRPr="004B3D9E">
              <w:rPr>
                <w:rFonts w:eastAsia="標楷體"/>
              </w:rPr>
              <w:t>3.55</w:t>
            </w:r>
          </w:p>
        </w:tc>
        <w:tc>
          <w:tcPr>
            <w:tcW w:w="1322" w:type="dxa"/>
            <w:tcBorders>
              <w:top w:val="single" w:sz="6" w:space="0" w:color="auto"/>
              <w:left w:val="single" w:sz="6" w:space="0" w:color="auto"/>
              <w:bottom w:val="single" w:sz="6" w:space="0" w:color="auto"/>
              <w:right w:val="single" w:sz="4" w:space="0" w:color="auto"/>
            </w:tcBorders>
            <w:vAlign w:val="center"/>
          </w:tcPr>
          <w:p w:rsidR="004B3D9E" w:rsidRPr="004B3D9E" w:rsidRDefault="004B3D9E" w:rsidP="004B3D9E">
            <w:pPr>
              <w:ind w:right="57"/>
              <w:jc w:val="right"/>
              <w:rPr>
                <w:rFonts w:eastAsia="標楷體"/>
              </w:rPr>
            </w:pPr>
            <w:r w:rsidRPr="004B3D9E">
              <w:rPr>
                <w:rFonts w:eastAsia="標楷體" w:hint="eastAsia"/>
              </w:rPr>
              <w:t>3.51</w:t>
            </w:r>
          </w:p>
        </w:tc>
        <w:tc>
          <w:tcPr>
            <w:tcW w:w="1800" w:type="dxa"/>
            <w:tcBorders>
              <w:top w:val="single" w:sz="6" w:space="0" w:color="auto"/>
              <w:left w:val="single" w:sz="4" w:space="0" w:color="auto"/>
              <w:bottom w:val="single" w:sz="6" w:space="0" w:color="auto"/>
              <w:right w:val="single" w:sz="12" w:space="0" w:color="auto"/>
            </w:tcBorders>
            <w:vAlign w:val="center"/>
          </w:tcPr>
          <w:p w:rsidR="004B3D9E" w:rsidRDefault="004B3D9E" w:rsidP="00310A3F">
            <w:pPr>
              <w:ind w:right="57"/>
              <w:jc w:val="right"/>
              <w:rPr>
                <w:rFonts w:eastAsia="標楷體"/>
              </w:rPr>
            </w:pPr>
            <w:r>
              <w:rPr>
                <w:rFonts w:eastAsia="標楷體" w:hint="eastAsia"/>
              </w:rPr>
              <w:t>2.43</w:t>
            </w:r>
          </w:p>
        </w:tc>
      </w:tr>
      <w:tr w:rsidR="00790CBA" w:rsidTr="00ED7722">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790CBA" w:rsidRPr="008E18FF" w:rsidRDefault="00790CBA">
            <w:pPr>
              <w:jc w:val="distribute"/>
              <w:rPr>
                <w:rFonts w:eastAsia="標楷體" w:hAnsi="標楷體"/>
              </w:rPr>
            </w:pPr>
            <w:r w:rsidRPr="008E18FF">
              <w:rPr>
                <w:rFonts w:eastAsia="標楷體" w:hAnsi="標楷體" w:hint="eastAsia"/>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790CBA" w:rsidRPr="00373C04" w:rsidRDefault="00790CBA">
            <w:pPr>
              <w:jc w:val="distribute"/>
              <w:rPr>
                <w:rFonts w:eastAsia="標楷體" w:hAnsi="標楷體"/>
              </w:rPr>
            </w:pPr>
            <w:r w:rsidRPr="00373C04">
              <w:rPr>
                <w:rFonts w:eastAsia="標楷體" w:hAnsi="標楷體" w:hint="eastAsia"/>
              </w:rPr>
              <w:t>現金股利</w:t>
            </w:r>
            <w:r w:rsidRPr="00373C04">
              <w:rPr>
                <w:rFonts w:eastAsia="標楷體" w:hAnsi="標楷體" w:hint="eastAsia"/>
              </w:rPr>
              <w:t>(</w:t>
            </w:r>
            <w:r w:rsidRPr="00373C04">
              <w:rPr>
                <w:rFonts w:eastAsia="標楷體" w:hAnsi="標楷體" w:hint="eastAsia"/>
              </w:rPr>
              <w:t>元</w:t>
            </w:r>
            <w:r w:rsidRPr="00373C04">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790CBA" w:rsidRPr="00062EAC" w:rsidRDefault="00790CBA" w:rsidP="00275226">
            <w:pPr>
              <w:ind w:right="57"/>
              <w:jc w:val="right"/>
              <w:rPr>
                <w:rFonts w:eastAsia="標楷體"/>
              </w:rPr>
            </w:pPr>
            <w:r w:rsidRPr="00062EAC">
              <w:rPr>
                <w:rFonts w:eastAsia="標楷體" w:hint="eastAsia"/>
              </w:rPr>
              <w:t>1.5</w:t>
            </w:r>
          </w:p>
        </w:tc>
        <w:tc>
          <w:tcPr>
            <w:tcW w:w="1320" w:type="dxa"/>
            <w:tcBorders>
              <w:top w:val="single" w:sz="6" w:space="0" w:color="auto"/>
              <w:left w:val="single" w:sz="6" w:space="0" w:color="auto"/>
              <w:bottom w:val="single" w:sz="6" w:space="0" w:color="auto"/>
              <w:right w:val="single" w:sz="6" w:space="0" w:color="auto"/>
            </w:tcBorders>
            <w:vAlign w:val="center"/>
          </w:tcPr>
          <w:p w:rsidR="00790CBA" w:rsidRPr="00062EAC" w:rsidRDefault="00790CBA" w:rsidP="00275226">
            <w:pPr>
              <w:ind w:right="57"/>
              <w:jc w:val="right"/>
              <w:rPr>
                <w:rFonts w:eastAsia="標楷體"/>
              </w:rPr>
            </w:pPr>
            <w:r w:rsidRPr="00062EAC">
              <w:rPr>
                <w:rFonts w:eastAsia="標楷體" w:hint="eastAsia"/>
              </w:rPr>
              <w:t>1</w:t>
            </w:r>
          </w:p>
        </w:tc>
        <w:tc>
          <w:tcPr>
            <w:tcW w:w="1320" w:type="dxa"/>
            <w:tcBorders>
              <w:top w:val="single" w:sz="6" w:space="0" w:color="auto"/>
              <w:left w:val="single" w:sz="6" w:space="0" w:color="auto"/>
              <w:bottom w:val="single" w:sz="6" w:space="0" w:color="auto"/>
              <w:right w:val="single" w:sz="6" w:space="0" w:color="auto"/>
            </w:tcBorders>
            <w:vAlign w:val="center"/>
          </w:tcPr>
          <w:p w:rsidR="00790CBA" w:rsidRPr="00062EAC" w:rsidRDefault="00790CBA" w:rsidP="00275226">
            <w:pPr>
              <w:ind w:right="57"/>
              <w:jc w:val="right"/>
              <w:rPr>
                <w:rFonts w:eastAsia="標楷體"/>
              </w:rPr>
            </w:pPr>
            <w:r w:rsidRPr="00062EAC">
              <w:rPr>
                <w:rFonts w:eastAsia="標楷體" w:hint="eastAsia"/>
              </w:rPr>
              <w:t>1.5</w:t>
            </w:r>
          </w:p>
        </w:tc>
        <w:tc>
          <w:tcPr>
            <w:tcW w:w="1320" w:type="dxa"/>
            <w:tcBorders>
              <w:top w:val="single" w:sz="6" w:space="0" w:color="auto"/>
              <w:left w:val="single" w:sz="6" w:space="0" w:color="auto"/>
              <w:bottom w:val="single" w:sz="6" w:space="0" w:color="auto"/>
              <w:right w:val="single" w:sz="6" w:space="0" w:color="auto"/>
            </w:tcBorders>
            <w:vAlign w:val="center"/>
          </w:tcPr>
          <w:p w:rsidR="00790CBA" w:rsidRPr="00062EAC" w:rsidRDefault="00790CBA" w:rsidP="00275226">
            <w:pPr>
              <w:ind w:right="57"/>
              <w:jc w:val="right"/>
              <w:rPr>
                <w:rFonts w:eastAsia="標楷體"/>
              </w:rPr>
            </w:pPr>
            <w:r w:rsidRPr="00062EAC">
              <w:rPr>
                <w:rFonts w:eastAsia="標楷體" w:hint="eastAsia"/>
              </w:rPr>
              <w:t>1.5</w:t>
            </w:r>
          </w:p>
        </w:tc>
        <w:tc>
          <w:tcPr>
            <w:tcW w:w="1322" w:type="dxa"/>
            <w:tcBorders>
              <w:top w:val="single" w:sz="6" w:space="0" w:color="auto"/>
              <w:left w:val="single" w:sz="6" w:space="0" w:color="auto"/>
              <w:bottom w:val="single" w:sz="6" w:space="0" w:color="auto"/>
              <w:right w:val="single" w:sz="4" w:space="0" w:color="auto"/>
            </w:tcBorders>
            <w:vAlign w:val="center"/>
          </w:tcPr>
          <w:p w:rsidR="00790CBA" w:rsidRPr="00062EAC" w:rsidRDefault="00790CBA" w:rsidP="00275226">
            <w:pPr>
              <w:ind w:right="57"/>
              <w:jc w:val="right"/>
              <w:rPr>
                <w:rFonts w:eastAsia="標楷體"/>
              </w:rPr>
            </w:pPr>
            <w:r>
              <w:rPr>
                <w:rFonts w:eastAsia="標楷體" w:hint="eastAsia"/>
              </w:rPr>
              <w:t>2.2</w:t>
            </w:r>
          </w:p>
        </w:tc>
        <w:tc>
          <w:tcPr>
            <w:tcW w:w="1800" w:type="dxa"/>
            <w:tcBorders>
              <w:top w:val="single" w:sz="6" w:space="0" w:color="auto"/>
              <w:left w:val="single" w:sz="4" w:space="0" w:color="auto"/>
              <w:bottom w:val="single" w:sz="6" w:space="0" w:color="auto"/>
              <w:right w:val="single" w:sz="12" w:space="0" w:color="auto"/>
            </w:tcBorders>
            <w:vAlign w:val="center"/>
          </w:tcPr>
          <w:p w:rsidR="00790CBA" w:rsidRPr="00062EAC" w:rsidRDefault="00790CBA" w:rsidP="00275226">
            <w:pPr>
              <w:ind w:right="57"/>
              <w:jc w:val="right"/>
              <w:rPr>
                <w:rFonts w:eastAsia="標楷體"/>
              </w:rPr>
            </w:pPr>
            <w:r w:rsidRPr="00801C5E">
              <w:rPr>
                <w:rFonts w:eastAsia="標楷體"/>
                <w:color w:val="000000"/>
              </w:rPr>
              <w:t>-</w:t>
            </w:r>
          </w:p>
        </w:tc>
      </w:tr>
      <w:tr w:rsidR="004B3D9E" w:rsidTr="00ED7722">
        <w:trPr>
          <w:cantSplit/>
        </w:trPr>
        <w:tc>
          <w:tcPr>
            <w:tcW w:w="568" w:type="dxa"/>
            <w:vMerge/>
            <w:tcBorders>
              <w:top w:val="single" w:sz="6" w:space="0" w:color="auto"/>
              <w:left w:val="single" w:sz="12" w:space="0" w:color="auto"/>
              <w:bottom w:val="single" w:sz="6" w:space="0" w:color="auto"/>
              <w:right w:val="single" w:sz="4" w:space="0" w:color="auto"/>
            </w:tcBorders>
            <w:vAlign w:val="center"/>
          </w:tcPr>
          <w:p w:rsidR="004B3D9E" w:rsidRPr="008E18FF" w:rsidRDefault="004B3D9E">
            <w:pPr>
              <w:jc w:val="distribute"/>
              <w:rPr>
                <w:rFonts w:eastAsia="標楷體" w:hAnsi="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4B3D9E" w:rsidRPr="00373C04" w:rsidRDefault="004B3D9E">
            <w:pPr>
              <w:jc w:val="both"/>
              <w:rPr>
                <w:rFonts w:eastAsia="標楷體" w:hAnsi="標楷體"/>
              </w:rPr>
            </w:pPr>
            <w:r w:rsidRPr="00373C04">
              <w:rPr>
                <w:rFonts w:eastAsia="標楷體" w:hAnsi="標楷體" w:hint="eastAsia"/>
              </w:rPr>
              <w:t>股票股利</w:t>
            </w:r>
            <w:r w:rsidRPr="00373C04">
              <w:rPr>
                <w:rFonts w:eastAsia="標楷體" w:hAnsi="標楷體" w:hint="eastAsia"/>
              </w:rPr>
              <w:t>(</w:t>
            </w:r>
            <w:r w:rsidRPr="00373C04">
              <w:rPr>
                <w:rFonts w:eastAsia="標楷體" w:hAnsi="標楷體" w:hint="eastAsia"/>
              </w:rPr>
              <w:t>資本公積轉增資</w:t>
            </w:r>
            <w:r w:rsidRPr="00373C04">
              <w:rPr>
                <w:rFonts w:eastAsia="標楷體" w:hAnsi="標楷體" w:hint="eastAsia"/>
              </w:rPr>
              <w:t>)(</w:t>
            </w:r>
            <w:r w:rsidRPr="00373C04">
              <w:rPr>
                <w:rFonts w:eastAsia="標楷體" w:hAnsi="標楷體" w:hint="eastAsia"/>
              </w:rPr>
              <w:t>元</w:t>
            </w:r>
            <w:r w:rsidRPr="00373C04">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4B3D9E" w:rsidRPr="00801C5E" w:rsidRDefault="004B3D9E" w:rsidP="00801C5E">
            <w:pPr>
              <w:spacing w:line="240" w:lineRule="exact"/>
              <w:ind w:rightChars="50" w:right="120"/>
              <w:jc w:val="right"/>
              <w:rPr>
                <w:rFonts w:eastAsia="標楷體"/>
                <w:color w:val="000000"/>
              </w:rPr>
            </w:pPr>
            <w:r w:rsidRPr="00801C5E">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801C5E" w:rsidRDefault="004B3D9E" w:rsidP="00801C5E">
            <w:pPr>
              <w:spacing w:line="240" w:lineRule="exact"/>
              <w:ind w:rightChars="50" w:right="120"/>
              <w:jc w:val="right"/>
              <w:rPr>
                <w:rFonts w:eastAsia="標楷體"/>
                <w:color w:val="000000"/>
              </w:rPr>
            </w:pPr>
            <w:r w:rsidRPr="00801C5E">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801C5E" w:rsidRDefault="004B3D9E" w:rsidP="00801C5E">
            <w:pPr>
              <w:spacing w:line="240" w:lineRule="exact"/>
              <w:ind w:rightChars="50" w:right="120"/>
              <w:jc w:val="right"/>
              <w:rPr>
                <w:rFonts w:eastAsia="標楷體"/>
                <w:color w:val="000000"/>
              </w:rPr>
            </w:pPr>
            <w:r w:rsidRPr="00801C5E">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4B3D9E" w:rsidRPr="00801C5E" w:rsidRDefault="004B3D9E" w:rsidP="00CA2E82">
            <w:pPr>
              <w:spacing w:line="240" w:lineRule="exact"/>
              <w:ind w:rightChars="50" w:right="120"/>
              <w:jc w:val="right"/>
              <w:rPr>
                <w:rFonts w:eastAsia="標楷體"/>
                <w:color w:val="000000"/>
              </w:rPr>
            </w:pPr>
            <w:r w:rsidRPr="00801C5E">
              <w:rPr>
                <w:rFonts w:eastAsia="標楷體"/>
                <w:color w:val="000000"/>
              </w:rPr>
              <w:t>-</w:t>
            </w:r>
          </w:p>
        </w:tc>
        <w:tc>
          <w:tcPr>
            <w:tcW w:w="1322" w:type="dxa"/>
            <w:tcBorders>
              <w:top w:val="single" w:sz="6" w:space="0" w:color="auto"/>
              <w:left w:val="single" w:sz="6" w:space="0" w:color="auto"/>
              <w:bottom w:val="single" w:sz="6" w:space="0" w:color="auto"/>
              <w:right w:val="single" w:sz="4" w:space="0" w:color="auto"/>
            </w:tcBorders>
            <w:vAlign w:val="center"/>
          </w:tcPr>
          <w:p w:rsidR="004B3D9E" w:rsidRPr="00801C5E" w:rsidRDefault="004B3D9E" w:rsidP="00CA2E82">
            <w:pPr>
              <w:spacing w:line="240" w:lineRule="exact"/>
              <w:ind w:rightChars="50" w:right="120"/>
              <w:jc w:val="right"/>
              <w:rPr>
                <w:rFonts w:eastAsia="標楷體"/>
                <w:color w:val="000000"/>
              </w:rPr>
            </w:pPr>
            <w:r w:rsidRPr="00801C5E">
              <w:rPr>
                <w:rFonts w:eastAsia="標楷體"/>
                <w:color w:val="000000"/>
              </w:rPr>
              <w:t>-</w:t>
            </w:r>
          </w:p>
        </w:tc>
        <w:tc>
          <w:tcPr>
            <w:tcW w:w="1800" w:type="dxa"/>
            <w:tcBorders>
              <w:top w:val="single" w:sz="6" w:space="0" w:color="auto"/>
              <w:left w:val="single" w:sz="4" w:space="0" w:color="auto"/>
              <w:bottom w:val="single" w:sz="6" w:space="0" w:color="auto"/>
              <w:right w:val="single" w:sz="12" w:space="0" w:color="auto"/>
            </w:tcBorders>
            <w:vAlign w:val="center"/>
          </w:tcPr>
          <w:p w:rsidR="004B3D9E" w:rsidRDefault="004B3D9E" w:rsidP="00CA2E82">
            <w:pPr>
              <w:ind w:right="57"/>
              <w:jc w:val="right"/>
              <w:rPr>
                <w:rFonts w:eastAsia="標楷體"/>
              </w:rPr>
            </w:pPr>
            <w:r w:rsidRPr="00801C5E">
              <w:rPr>
                <w:rFonts w:eastAsia="標楷體"/>
                <w:color w:val="000000"/>
              </w:rPr>
              <w:t>-</w:t>
            </w:r>
          </w:p>
        </w:tc>
      </w:tr>
      <w:tr w:rsidR="004B3D9E" w:rsidTr="00ED7722">
        <w:trPr>
          <w:cantSplit/>
        </w:trPr>
        <w:tc>
          <w:tcPr>
            <w:tcW w:w="568" w:type="dxa"/>
            <w:vMerge/>
            <w:tcBorders>
              <w:top w:val="single" w:sz="6" w:space="0" w:color="auto"/>
              <w:left w:val="single" w:sz="12" w:space="0" w:color="auto"/>
              <w:bottom w:val="single" w:sz="12" w:space="0" w:color="auto"/>
              <w:right w:val="single" w:sz="4" w:space="0" w:color="auto"/>
            </w:tcBorders>
            <w:vAlign w:val="center"/>
          </w:tcPr>
          <w:p w:rsidR="004B3D9E" w:rsidRPr="008E18FF" w:rsidRDefault="004B3D9E">
            <w:pPr>
              <w:jc w:val="distribute"/>
              <w:rPr>
                <w:rFonts w:eastAsia="標楷體"/>
              </w:rPr>
            </w:pPr>
          </w:p>
        </w:tc>
        <w:tc>
          <w:tcPr>
            <w:tcW w:w="1530" w:type="dxa"/>
            <w:tcBorders>
              <w:top w:val="single" w:sz="6" w:space="0" w:color="auto"/>
              <w:left w:val="single" w:sz="4" w:space="0" w:color="auto"/>
              <w:bottom w:val="single" w:sz="12" w:space="0" w:color="auto"/>
              <w:right w:val="single" w:sz="6" w:space="0" w:color="auto"/>
            </w:tcBorders>
            <w:vAlign w:val="center"/>
          </w:tcPr>
          <w:p w:rsidR="004B3D9E" w:rsidRPr="00373C04" w:rsidRDefault="004B3D9E">
            <w:pPr>
              <w:jc w:val="both"/>
              <w:rPr>
                <w:rFonts w:eastAsia="標楷體"/>
              </w:rPr>
            </w:pPr>
            <w:r w:rsidRPr="00373C04">
              <w:rPr>
                <w:rFonts w:eastAsia="標楷體" w:hAnsi="標楷體" w:hint="eastAsia"/>
              </w:rPr>
              <w:t>股票股利</w:t>
            </w:r>
            <w:r w:rsidRPr="00373C04">
              <w:rPr>
                <w:rFonts w:eastAsia="標楷體" w:hAnsi="標楷體" w:hint="eastAsia"/>
              </w:rPr>
              <w:t>(</w:t>
            </w:r>
            <w:r w:rsidRPr="00373C04">
              <w:rPr>
                <w:rFonts w:eastAsia="標楷體" w:hAnsi="標楷體" w:hint="eastAsia"/>
              </w:rPr>
              <w:t>盈餘轉增資</w:t>
            </w:r>
            <w:r w:rsidRPr="00373C04">
              <w:rPr>
                <w:rFonts w:eastAsia="標楷體" w:hAnsi="標楷體" w:hint="eastAsia"/>
              </w:rPr>
              <w:t>)(</w:t>
            </w:r>
            <w:r w:rsidRPr="00373C04">
              <w:rPr>
                <w:rFonts w:eastAsia="標楷體" w:hAnsi="標楷體" w:hint="eastAsia"/>
              </w:rPr>
              <w:t>元</w:t>
            </w:r>
            <w:r w:rsidRPr="00373C04">
              <w:rPr>
                <w:rFonts w:eastAsia="標楷體" w:hAnsi="標楷體" w:hint="eastAsia"/>
              </w:rPr>
              <w:t>)</w:t>
            </w:r>
          </w:p>
        </w:tc>
        <w:tc>
          <w:tcPr>
            <w:tcW w:w="1288" w:type="dxa"/>
            <w:tcBorders>
              <w:top w:val="single" w:sz="6" w:space="0" w:color="auto"/>
              <w:left w:val="single" w:sz="6" w:space="0" w:color="auto"/>
              <w:bottom w:val="single" w:sz="12" w:space="0" w:color="auto"/>
              <w:right w:val="single" w:sz="6" w:space="0" w:color="auto"/>
            </w:tcBorders>
            <w:vAlign w:val="center"/>
          </w:tcPr>
          <w:p w:rsidR="004B3D9E" w:rsidRPr="00801C5E" w:rsidRDefault="004B3D9E" w:rsidP="00801C5E">
            <w:pPr>
              <w:spacing w:line="240" w:lineRule="exact"/>
              <w:ind w:rightChars="50" w:right="120"/>
              <w:jc w:val="right"/>
              <w:rPr>
                <w:rFonts w:eastAsia="標楷體"/>
                <w:color w:val="000000"/>
              </w:rPr>
            </w:pPr>
            <w:r w:rsidRPr="00801C5E">
              <w:rPr>
                <w:rFonts w:eastAsia="標楷體"/>
                <w:color w:val="000000"/>
              </w:rPr>
              <w:t>-</w:t>
            </w:r>
          </w:p>
        </w:tc>
        <w:tc>
          <w:tcPr>
            <w:tcW w:w="1320" w:type="dxa"/>
            <w:tcBorders>
              <w:top w:val="single" w:sz="6" w:space="0" w:color="auto"/>
              <w:left w:val="single" w:sz="6" w:space="0" w:color="auto"/>
              <w:bottom w:val="single" w:sz="12" w:space="0" w:color="auto"/>
              <w:right w:val="single" w:sz="6" w:space="0" w:color="auto"/>
            </w:tcBorders>
            <w:vAlign w:val="center"/>
          </w:tcPr>
          <w:p w:rsidR="004B3D9E" w:rsidRPr="00801C5E" w:rsidRDefault="004B3D9E" w:rsidP="00801C5E">
            <w:pPr>
              <w:spacing w:line="240" w:lineRule="exact"/>
              <w:ind w:rightChars="50" w:right="120"/>
              <w:jc w:val="right"/>
              <w:rPr>
                <w:rFonts w:eastAsia="標楷體"/>
                <w:color w:val="000000"/>
              </w:rPr>
            </w:pPr>
            <w:r w:rsidRPr="00801C5E">
              <w:rPr>
                <w:rFonts w:eastAsia="標楷體"/>
                <w:color w:val="000000"/>
              </w:rPr>
              <w:t>-</w:t>
            </w:r>
          </w:p>
        </w:tc>
        <w:tc>
          <w:tcPr>
            <w:tcW w:w="1320" w:type="dxa"/>
            <w:tcBorders>
              <w:top w:val="single" w:sz="6" w:space="0" w:color="auto"/>
              <w:left w:val="single" w:sz="6" w:space="0" w:color="auto"/>
              <w:bottom w:val="single" w:sz="12" w:space="0" w:color="auto"/>
              <w:right w:val="single" w:sz="6" w:space="0" w:color="auto"/>
            </w:tcBorders>
            <w:vAlign w:val="center"/>
          </w:tcPr>
          <w:p w:rsidR="004B3D9E" w:rsidRPr="00801C5E" w:rsidRDefault="004B3D9E" w:rsidP="00801C5E">
            <w:pPr>
              <w:spacing w:line="240" w:lineRule="exact"/>
              <w:ind w:rightChars="50" w:right="120"/>
              <w:jc w:val="right"/>
              <w:rPr>
                <w:rFonts w:eastAsia="標楷體"/>
                <w:color w:val="000000"/>
              </w:rPr>
            </w:pPr>
            <w:r w:rsidRPr="00801C5E">
              <w:rPr>
                <w:rFonts w:eastAsia="標楷體"/>
                <w:color w:val="000000"/>
              </w:rPr>
              <w:t>-</w:t>
            </w:r>
          </w:p>
        </w:tc>
        <w:tc>
          <w:tcPr>
            <w:tcW w:w="1320" w:type="dxa"/>
            <w:tcBorders>
              <w:top w:val="single" w:sz="6" w:space="0" w:color="auto"/>
              <w:left w:val="single" w:sz="6" w:space="0" w:color="auto"/>
              <w:bottom w:val="single" w:sz="12" w:space="0" w:color="auto"/>
              <w:right w:val="single" w:sz="6" w:space="0" w:color="auto"/>
            </w:tcBorders>
            <w:vAlign w:val="center"/>
          </w:tcPr>
          <w:p w:rsidR="004B3D9E" w:rsidRPr="00801C5E" w:rsidRDefault="004B3D9E" w:rsidP="00801C5E">
            <w:pPr>
              <w:spacing w:line="240" w:lineRule="exact"/>
              <w:ind w:rightChars="50" w:right="120"/>
              <w:jc w:val="right"/>
              <w:rPr>
                <w:rFonts w:eastAsia="標楷體"/>
                <w:color w:val="000000"/>
              </w:rPr>
            </w:pPr>
            <w:r w:rsidRPr="00801C5E">
              <w:rPr>
                <w:rFonts w:eastAsia="標楷體"/>
                <w:color w:val="000000"/>
              </w:rPr>
              <w:t>-</w:t>
            </w:r>
          </w:p>
        </w:tc>
        <w:tc>
          <w:tcPr>
            <w:tcW w:w="1322" w:type="dxa"/>
            <w:tcBorders>
              <w:top w:val="single" w:sz="6" w:space="0" w:color="auto"/>
              <w:left w:val="single" w:sz="6" w:space="0" w:color="auto"/>
              <w:bottom w:val="single" w:sz="12" w:space="0" w:color="auto"/>
              <w:right w:val="single" w:sz="4" w:space="0" w:color="auto"/>
            </w:tcBorders>
            <w:vAlign w:val="center"/>
          </w:tcPr>
          <w:p w:rsidR="004B3D9E" w:rsidRPr="00801C5E" w:rsidRDefault="004B3D9E" w:rsidP="00CA2E82">
            <w:pPr>
              <w:spacing w:line="240" w:lineRule="exact"/>
              <w:ind w:rightChars="50" w:right="120"/>
              <w:jc w:val="right"/>
              <w:rPr>
                <w:rFonts w:eastAsia="標楷體"/>
                <w:color w:val="000000"/>
              </w:rPr>
            </w:pPr>
            <w:r w:rsidRPr="00801C5E">
              <w:rPr>
                <w:rFonts w:eastAsia="標楷體"/>
                <w:color w:val="000000"/>
              </w:rPr>
              <w:t>-</w:t>
            </w:r>
          </w:p>
        </w:tc>
        <w:tc>
          <w:tcPr>
            <w:tcW w:w="1800" w:type="dxa"/>
            <w:tcBorders>
              <w:top w:val="single" w:sz="6" w:space="0" w:color="auto"/>
              <w:left w:val="single" w:sz="4" w:space="0" w:color="auto"/>
              <w:bottom w:val="single" w:sz="12" w:space="0" w:color="auto"/>
              <w:right w:val="single" w:sz="12" w:space="0" w:color="auto"/>
            </w:tcBorders>
            <w:vAlign w:val="center"/>
          </w:tcPr>
          <w:p w:rsidR="004B3D9E" w:rsidRDefault="004B3D9E">
            <w:pPr>
              <w:ind w:right="57"/>
              <w:jc w:val="right"/>
              <w:rPr>
                <w:rFonts w:eastAsia="標楷體"/>
              </w:rPr>
            </w:pPr>
            <w:r w:rsidRPr="00801C5E">
              <w:rPr>
                <w:rFonts w:eastAsia="標楷體"/>
                <w:color w:val="000000"/>
              </w:rPr>
              <w:t>-</w:t>
            </w:r>
          </w:p>
        </w:tc>
      </w:tr>
    </w:tbl>
    <w:p w:rsidR="00062EAC" w:rsidRPr="001A2ED5" w:rsidRDefault="00062EAC" w:rsidP="00062EAC">
      <w:pPr>
        <w:pStyle w:val="Web"/>
        <w:widowControl w:val="0"/>
        <w:spacing w:before="0" w:beforeAutospacing="0" w:after="0" w:afterAutospacing="0"/>
        <w:ind w:leftChars="-177" w:left="175" w:rightChars="-177" w:right="-425" w:hangingChars="250" w:hanging="600"/>
        <w:jc w:val="both"/>
        <w:rPr>
          <w:rFonts w:ascii="Times New Roman" w:eastAsia="標楷體" w:hAnsi="Times New Roman" w:cs="Times New Roman"/>
        </w:rPr>
      </w:pPr>
      <w:proofErr w:type="gramStart"/>
      <w:r w:rsidRPr="001A2ED5">
        <w:rPr>
          <w:rFonts w:ascii="Times New Roman" w:eastAsia="標楷體" w:hAnsi="Times New Roman" w:cs="Times New Roman" w:hint="eastAsia"/>
        </w:rPr>
        <w:t>註</w:t>
      </w:r>
      <w:proofErr w:type="gramEnd"/>
      <w:r w:rsidRPr="001A2ED5">
        <w:rPr>
          <w:rFonts w:ascii="Times New Roman" w:eastAsia="標楷體" w:hAnsi="Times New Roman" w:cs="Times New Roman"/>
        </w:rPr>
        <w:t>1</w:t>
      </w:r>
      <w:r w:rsidRPr="001A2ED5">
        <w:rPr>
          <w:rFonts w:ascii="Times New Roman" w:eastAsia="標楷體" w:hAnsi="Times New Roman" w:cs="Times New Roman" w:hint="eastAsia"/>
        </w:rPr>
        <w:t>：</w:t>
      </w:r>
      <w:r w:rsidRPr="001A2ED5">
        <w:rPr>
          <w:rFonts w:ascii="Times New Roman" w:eastAsia="標楷體" w:hAnsi="Times New Roman" w:cs="Times New Roman" w:hint="eastAsia"/>
        </w:rPr>
        <w:t>99</w:t>
      </w:r>
      <w:r w:rsidRPr="001A2ED5">
        <w:rPr>
          <w:rFonts w:ascii="Times New Roman" w:eastAsia="標楷體" w:hAnsi="Times New Roman" w:cs="Times New Roman"/>
        </w:rPr>
        <w:t>~</w:t>
      </w:r>
      <w:proofErr w:type="gramStart"/>
      <w:r w:rsidRPr="001A2ED5">
        <w:rPr>
          <w:rFonts w:ascii="Times New Roman" w:eastAsia="標楷體" w:hAnsi="Times New Roman" w:cs="Times New Roman"/>
        </w:rPr>
        <w:t>10</w:t>
      </w:r>
      <w:r w:rsidRPr="001A2ED5">
        <w:rPr>
          <w:rFonts w:ascii="Times New Roman" w:eastAsia="標楷體" w:hAnsi="Times New Roman" w:cs="Times New Roman" w:hint="eastAsia"/>
        </w:rPr>
        <w:t>1</w:t>
      </w:r>
      <w:proofErr w:type="gramEnd"/>
      <w:r w:rsidRPr="001A2ED5">
        <w:rPr>
          <w:rFonts w:ascii="Times New Roman" w:eastAsia="標楷體" w:hAnsi="Times New Roman" w:cs="Times New Roman" w:hint="eastAsia"/>
        </w:rPr>
        <w:t>年度資料係依據「商業會計法」而非「證券發行人財務報告編製準則」編製之</w:t>
      </w:r>
      <w:r w:rsidR="00BE4AC8">
        <w:rPr>
          <w:rFonts w:ascii="Times New Roman" w:eastAsia="標楷體" w:hAnsi="Times New Roman" w:cs="Times New Roman" w:hint="eastAsia"/>
        </w:rPr>
        <w:t>個體</w:t>
      </w:r>
      <w:r w:rsidRPr="001A2ED5">
        <w:rPr>
          <w:rFonts w:ascii="Times New Roman" w:eastAsia="標楷體" w:hAnsi="Times New Roman" w:cs="Times New Roman" w:hint="eastAsia"/>
        </w:rPr>
        <w:t>財務報告。</w:t>
      </w:r>
    </w:p>
    <w:p w:rsidR="00062EAC" w:rsidRDefault="00062EAC" w:rsidP="00062EAC">
      <w:pPr>
        <w:pStyle w:val="Web"/>
        <w:widowControl w:val="0"/>
        <w:spacing w:before="0" w:beforeAutospacing="0" w:after="0" w:afterAutospacing="0"/>
        <w:ind w:leftChars="-177" w:left="175" w:rightChars="-177" w:right="-425" w:hangingChars="250" w:hanging="600"/>
        <w:jc w:val="both"/>
        <w:rPr>
          <w:rFonts w:ascii="Times New Roman" w:eastAsia="標楷體" w:hAnsi="Times New Roman" w:cs="Times New Roman"/>
        </w:rPr>
      </w:pPr>
      <w:proofErr w:type="gramStart"/>
      <w:r w:rsidRPr="001A2ED5">
        <w:rPr>
          <w:rFonts w:ascii="Times New Roman" w:eastAsia="標楷體" w:hAnsi="Times New Roman" w:cs="Times New Roman" w:hint="eastAsia"/>
        </w:rPr>
        <w:t>註</w:t>
      </w:r>
      <w:proofErr w:type="gramEnd"/>
      <w:r w:rsidRPr="001A2ED5">
        <w:rPr>
          <w:rFonts w:ascii="Times New Roman" w:eastAsia="標楷體" w:hAnsi="Times New Roman" w:cs="Times New Roman"/>
        </w:rPr>
        <w:t>2</w:t>
      </w:r>
      <w:r w:rsidRPr="001A2ED5">
        <w:rPr>
          <w:rFonts w:ascii="Times New Roman" w:eastAsia="標楷體" w:hAnsi="Times New Roman" w:cs="Times New Roman" w:hint="eastAsia"/>
        </w:rPr>
        <w:t>：</w:t>
      </w:r>
      <w:proofErr w:type="gramStart"/>
      <w:r w:rsidRPr="001A2ED5">
        <w:rPr>
          <w:rFonts w:ascii="Times New Roman" w:eastAsia="標楷體" w:hAnsi="Times New Roman" w:cs="Times New Roman"/>
        </w:rPr>
        <w:t>10</w:t>
      </w:r>
      <w:r>
        <w:rPr>
          <w:rFonts w:ascii="Times New Roman" w:eastAsia="標楷體" w:hAnsi="Times New Roman" w:cs="Times New Roman" w:hint="eastAsia"/>
        </w:rPr>
        <w:t>2</w:t>
      </w:r>
      <w:proofErr w:type="gramEnd"/>
      <w:r w:rsidRPr="001A2ED5">
        <w:rPr>
          <w:rFonts w:ascii="Times New Roman" w:eastAsia="標楷體" w:hAnsi="Times New Roman" w:cs="Times New Roman" w:hint="eastAsia"/>
        </w:rPr>
        <w:t>年度資料係依「商業會計法」編製之</w:t>
      </w:r>
      <w:r>
        <w:rPr>
          <w:rFonts w:ascii="Times New Roman" w:eastAsia="標楷體" w:hAnsi="Times New Roman" w:cs="Times New Roman" w:hint="eastAsia"/>
        </w:rPr>
        <w:t>個體</w:t>
      </w:r>
      <w:r w:rsidRPr="001A2ED5">
        <w:rPr>
          <w:rFonts w:ascii="Times New Roman" w:eastAsia="標楷體" w:hAnsi="Times New Roman" w:cs="Times New Roman" w:hint="eastAsia"/>
        </w:rPr>
        <w:t>財務資訊且</w:t>
      </w:r>
      <w:r>
        <w:rPr>
          <w:rFonts w:ascii="Times New Roman" w:eastAsia="標楷體" w:hAnsi="Times New Roman" w:cs="Times New Roman" w:hint="eastAsia"/>
        </w:rPr>
        <w:t>係</w:t>
      </w:r>
      <w:r w:rsidRPr="001A2ED5">
        <w:rPr>
          <w:rFonts w:ascii="Times New Roman" w:eastAsia="標楷體" w:hAnsi="Times New Roman" w:cs="Times New Roman" w:hint="eastAsia"/>
        </w:rPr>
        <w:t>依財團法人中華民國會計研究發展基金會所公布之相關解釋函令予以重編。</w:t>
      </w:r>
    </w:p>
    <w:p w:rsidR="00062EAC" w:rsidRPr="001A2ED5" w:rsidRDefault="00062EAC" w:rsidP="00062EAC">
      <w:pPr>
        <w:pStyle w:val="Web"/>
        <w:widowControl w:val="0"/>
        <w:spacing w:before="0" w:beforeAutospacing="0" w:after="0" w:afterAutospacing="0"/>
        <w:ind w:leftChars="-177" w:left="175" w:rightChars="-177" w:right="-425" w:hangingChars="250" w:hanging="600"/>
        <w:jc w:val="both"/>
        <w:rPr>
          <w:rFonts w:ascii="Times New Roman" w:eastAsia="標楷體" w:hAnsi="Times New Roman" w:cs="Times New Roman"/>
        </w:rPr>
      </w:pPr>
      <w:proofErr w:type="gramStart"/>
      <w:r w:rsidRPr="001A2ED5">
        <w:rPr>
          <w:rFonts w:ascii="Times New Roman" w:eastAsia="標楷體" w:hAnsi="Times New Roman" w:cs="Times New Roman" w:hint="eastAsia"/>
        </w:rPr>
        <w:t>註</w:t>
      </w:r>
      <w:proofErr w:type="gramEnd"/>
      <w:r w:rsidRPr="001A2ED5">
        <w:rPr>
          <w:rFonts w:ascii="Times New Roman" w:eastAsia="標楷體" w:hAnsi="Times New Roman" w:cs="Times New Roman" w:hint="eastAsia"/>
        </w:rPr>
        <w:t>3</w:t>
      </w:r>
      <w:r w:rsidRPr="001A2ED5">
        <w:rPr>
          <w:rFonts w:ascii="Times New Roman" w:eastAsia="標楷體" w:hAnsi="Times New Roman" w:cs="Times New Roman" w:hint="eastAsia"/>
        </w:rPr>
        <w:t>：</w:t>
      </w:r>
      <w:proofErr w:type="gramStart"/>
      <w:r w:rsidRPr="001A2ED5">
        <w:rPr>
          <w:rFonts w:ascii="Times New Roman" w:eastAsia="標楷體" w:hAnsi="Times New Roman" w:cs="Times New Roman"/>
        </w:rPr>
        <w:t>103</w:t>
      </w:r>
      <w:proofErr w:type="gramEnd"/>
      <w:r w:rsidRPr="001A2ED5">
        <w:rPr>
          <w:rFonts w:ascii="Times New Roman" w:eastAsia="標楷體" w:hAnsi="Times New Roman" w:cs="Times New Roman" w:hint="eastAsia"/>
        </w:rPr>
        <w:t>年度資料係依「證券發行人財務報告編製準則」編製之合併財務資訊。</w:t>
      </w:r>
    </w:p>
    <w:p w:rsidR="00062EAC" w:rsidRPr="001A2ED5" w:rsidRDefault="00062EAC" w:rsidP="00062EAC">
      <w:pPr>
        <w:pStyle w:val="Web"/>
        <w:widowControl w:val="0"/>
        <w:spacing w:before="0" w:beforeAutospacing="0" w:after="0" w:afterAutospacing="0"/>
        <w:ind w:leftChars="-177" w:left="175" w:rightChars="-177" w:right="-425" w:hangingChars="250" w:hanging="600"/>
        <w:jc w:val="both"/>
        <w:rPr>
          <w:rFonts w:ascii="Times New Roman" w:eastAsia="標楷體" w:hAnsi="Times New Roman" w:cs="Times New Roman"/>
        </w:rPr>
      </w:pPr>
      <w:proofErr w:type="gramStart"/>
      <w:r w:rsidRPr="001A2ED5">
        <w:rPr>
          <w:rFonts w:ascii="Times New Roman" w:eastAsia="標楷體" w:hAnsi="Times New Roman" w:cs="Times New Roman" w:hint="eastAsia"/>
        </w:rPr>
        <w:t>註</w:t>
      </w:r>
      <w:proofErr w:type="gramEnd"/>
      <w:r>
        <w:rPr>
          <w:rFonts w:ascii="Times New Roman" w:eastAsia="標楷體" w:hAnsi="Times New Roman" w:cs="Times New Roman" w:hint="eastAsia"/>
        </w:rPr>
        <w:t>4</w:t>
      </w:r>
      <w:r w:rsidRPr="001A2ED5">
        <w:rPr>
          <w:rFonts w:ascii="Times New Roman" w:eastAsia="標楷體" w:hAnsi="Times New Roman" w:cs="Times New Roman" w:hint="eastAsia"/>
        </w:rPr>
        <w:t>：係</w:t>
      </w:r>
      <w:proofErr w:type="gramStart"/>
      <w:r w:rsidRPr="001A2ED5">
        <w:rPr>
          <w:rFonts w:ascii="Times New Roman" w:eastAsia="標楷體" w:hAnsi="Times New Roman" w:cs="Times New Roman"/>
        </w:rPr>
        <w:t>104</w:t>
      </w:r>
      <w:proofErr w:type="gramEnd"/>
      <w:r w:rsidRPr="001A2ED5">
        <w:rPr>
          <w:rFonts w:ascii="Times New Roman" w:eastAsia="標楷體" w:hAnsi="Times New Roman" w:cs="Times New Roman" w:hint="eastAsia"/>
        </w:rPr>
        <w:t>年度截至</w:t>
      </w:r>
      <w:proofErr w:type="gramStart"/>
      <w:r w:rsidRPr="001A2ED5">
        <w:rPr>
          <w:rFonts w:ascii="Times New Roman" w:eastAsia="標楷體" w:hAnsi="Times New Roman" w:cs="Times New Roman" w:hint="eastAsia"/>
        </w:rPr>
        <w:t>7</w:t>
      </w:r>
      <w:r w:rsidRPr="001A2ED5">
        <w:rPr>
          <w:rFonts w:ascii="Times New Roman" w:eastAsia="標楷體" w:hAnsi="Times New Roman" w:cs="Times New Roman" w:hint="eastAsia"/>
        </w:rPr>
        <w:t>月份止依</w:t>
      </w:r>
      <w:r w:rsidRPr="00801C5E">
        <w:rPr>
          <w:rFonts w:ascii="Times New Roman" w:eastAsia="標楷體" w:hAnsi="Times New Roman" w:cs="Times New Roman"/>
        </w:rPr>
        <w:t>國際</w:t>
      </w:r>
      <w:proofErr w:type="gramEnd"/>
      <w:r w:rsidRPr="00801C5E">
        <w:rPr>
          <w:rFonts w:ascii="Times New Roman" w:eastAsia="標楷體" w:hAnsi="Times New Roman" w:cs="Times New Roman"/>
        </w:rPr>
        <w:t>財務報導準則</w:t>
      </w:r>
      <w:r w:rsidRPr="001A2ED5">
        <w:rPr>
          <w:rFonts w:ascii="Times New Roman" w:eastAsia="標楷體" w:hAnsi="Times New Roman" w:cs="Times New Roman" w:hint="eastAsia"/>
        </w:rPr>
        <w:t>編製之合併自結數字，未經會計師查核簽證，因此可能與會計師查核結果存有差異，請投資人於參考時審慎評估。</w:t>
      </w:r>
    </w:p>
    <w:p w:rsidR="001A2ED5" w:rsidRPr="00062EAC" w:rsidRDefault="001A2ED5" w:rsidP="001646F3">
      <w:pPr>
        <w:pStyle w:val="Web"/>
        <w:widowControl w:val="0"/>
        <w:spacing w:before="0" w:beforeAutospacing="0" w:after="0" w:afterAutospacing="0"/>
        <w:ind w:leftChars="-178" w:left="283" w:rightChars="-177" w:right="-425" w:hangingChars="296" w:hanging="710"/>
        <w:rPr>
          <w:rFonts w:ascii="Times New Roman" w:eastAsia="標楷體" w:hAnsi="Times New Roman" w:cs="Times New Roman"/>
        </w:rPr>
      </w:pPr>
    </w:p>
    <w:p w:rsidR="004A30A4" w:rsidRDefault="004A30A4">
      <w:pPr>
        <w:widowControl/>
        <w:rPr>
          <w:rFonts w:eastAsia="標楷體"/>
          <w:kern w:val="0"/>
        </w:rPr>
      </w:pPr>
      <w:r>
        <w:rPr>
          <w:rFonts w:eastAsia="標楷體"/>
        </w:rPr>
        <w:br w:type="page"/>
      </w:r>
    </w:p>
    <w:p w:rsidR="00A9596D" w:rsidRPr="00B04F87" w:rsidRDefault="00A9596D" w:rsidP="00B04F87">
      <w:pPr>
        <w:pStyle w:val="Web"/>
        <w:widowControl w:val="0"/>
        <w:spacing w:before="0" w:beforeAutospacing="0" w:after="0" w:afterAutospacing="0"/>
        <w:ind w:left="567" w:hangingChars="236" w:hanging="567"/>
        <w:rPr>
          <w:rFonts w:ascii="標楷體" w:eastAsia="標楷體" w:hAnsi="標楷體"/>
          <w:b/>
        </w:rPr>
      </w:pPr>
    </w:p>
    <w:tbl>
      <w:tblPr>
        <w:tblW w:w="10468"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7"/>
        <w:gridCol w:w="1134"/>
        <w:gridCol w:w="1455"/>
        <w:gridCol w:w="1736"/>
        <w:gridCol w:w="1665"/>
        <w:gridCol w:w="1610"/>
        <w:gridCol w:w="1691"/>
      </w:tblGrid>
      <w:tr w:rsidR="00161123" w:rsidRPr="00801C5E" w:rsidTr="00ED7722">
        <w:trPr>
          <w:cantSplit/>
          <w:trHeight w:hRule="exact" w:val="1209"/>
        </w:trPr>
        <w:tc>
          <w:tcPr>
            <w:tcW w:w="10468" w:type="dxa"/>
            <w:gridSpan w:val="7"/>
            <w:tcBorders>
              <w:top w:val="single" w:sz="12" w:space="0" w:color="auto"/>
              <w:left w:val="single" w:sz="12" w:space="0" w:color="auto"/>
              <w:bottom w:val="single" w:sz="6" w:space="0" w:color="auto"/>
              <w:right w:val="single" w:sz="12" w:space="0" w:color="auto"/>
            </w:tcBorders>
            <w:shd w:val="clear" w:color="auto" w:fill="auto"/>
            <w:vAlign w:val="center"/>
          </w:tcPr>
          <w:bookmarkStart w:id="6" w:name="最近五年度簡明資產負債表"/>
          <w:bookmarkEnd w:id="6"/>
          <w:p w:rsidR="00161123" w:rsidRPr="00801C5E" w:rsidRDefault="00450137" w:rsidP="003A7D92">
            <w:pPr>
              <w:jc w:val="center"/>
              <w:rPr>
                <w:rFonts w:eastAsia="標楷體" w:hAnsi="標楷體"/>
                <w:b/>
                <w:bCs/>
                <w:sz w:val="28"/>
              </w:rPr>
            </w:pPr>
            <w:r>
              <w:rPr>
                <w:rFonts w:eastAsia="標楷體" w:hAnsi="標楷體"/>
                <w:b/>
                <w:bCs/>
                <w:noProof/>
                <w:sz w:val="28"/>
              </w:rPr>
              <mc:AlternateContent>
                <mc:Choice Requires="wps">
                  <w:drawing>
                    <wp:anchor distT="0" distB="0" distL="114300" distR="114300" simplePos="0" relativeHeight="251661312" behindDoc="1" locked="0" layoutInCell="1" allowOverlap="1" wp14:anchorId="1ECB8184" wp14:editId="00346A44">
                      <wp:simplePos x="0" y="0"/>
                      <wp:positionH relativeFrom="column">
                        <wp:posOffset>25400</wp:posOffset>
                      </wp:positionH>
                      <wp:positionV relativeFrom="paragraph">
                        <wp:posOffset>-635</wp:posOffset>
                      </wp:positionV>
                      <wp:extent cx="6642100" cy="1128395"/>
                      <wp:effectExtent l="2540" t="0" r="381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12839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E82" w:rsidRDefault="00CA2E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left:0;text-align:left;margin-left:2pt;margin-top:-.05pt;width:523pt;height:8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6fzgIAANUFAAAOAAAAZHJzL2Uyb0RvYy54bWysVMlu2zAQvRfoPxC8O1oq2ZZgOUjiuCiQ&#10;LkBS9ExTlESUIlWStpwW/fcOKdlRmxyKojJAc5vhvDdvZnV5bAU6MG24kgWOLkKMmKSq5LIu8OeH&#10;7WyJkbFElkQoyQr8yAy+XL9+teq7nMWqUaJkGoETafK+K3BjbZcHgaENa4m5UB2TcFgp3RILS10H&#10;pSY9eG9FEIfhPOiVLjutKDMGdjfDIV57/1XFqP1YVYZZJAoMsVk/aj/u3BisVySvNekaTscwyD9E&#10;0RIu4dGzqw2xBO01f+aq5VQroyp7QVUbqKrilHkMgCYK/0Bz35COeSxAjunONJn/55Z+OHzSiJcF&#10;TjGSpIUUPbCjRdfqiLKFo6fvTA637ju4Z4+wD2n2UE13p+hXg6S6aYis2ZXWqm8YKSG8yFkGE9PB&#10;j3FOdv17VcI7ZG+Vd3SsdOu4AzYQeIc0PZ5T42KhsDmfJ3EUwhGFsyiKl2+y1L9B8pN5p419y1SL&#10;3KTAGnLv3ZPDnbEuHJKfroyZKrdcCKSV/cJt48k+YasN2PhbBnUKAIUDZF3vboRGBwJyut243xhE&#10;baa30xC+5xZb/71oAdheNHn2CKA4Bye4RMA85C4ZzJGhRDBI5sC/l6MH6YIT0o1SOdADHcMOUDyC&#10;dWR70f7IojgJr+Nstp0vF7Nkm6SzbBEuZ2GUXWfzMMmSzfanAxglecPLksk7LtmpgKLk7wQ6lvIg&#10;fV9CqC9wlsbpwJ0S/By9mVLv0friBTrM9FrLLfQTwdsCLwdOACrJnSxvZennlnAxzIPfw/cSAQ5O&#10;/54VL2Kn20HB9rg7juUCzpzAd6p8BFWDirx0oRfCpFH6O0Y99JUCm297ohlG4p0EIWVRkrhG5BdJ&#10;uohhoacnu+kJkRRcFdhiSLSb3tihee07zesGXhpqUaorqKaKe50/RTXWIPQOj2nsc645Tdf+1lM3&#10;Xv8CAAD//wMAUEsDBBQABgAIAAAAIQCD+aZh3wAAAAgBAAAPAAAAZHJzL2Rvd25yZXYueG1sTI9B&#10;T8JAEIXvJvyHzZh4g12MUlK7JUSDRiUmAonXpTu2Dd3Z2l1K/fcOJ7nNzHt5871sMbhG9NiF2pOG&#10;6USBQCq8ranUsNuuxnMQIRqypvGEGn4xwCIfXWUmtf5En9hvYik4hEJqNFQxtqmUoajQmTDxLRJr&#10;375zJvLaldJ25sThrpG3Ss2kMzXxh8q0+FhhcdgcnYb+9eXjffWGuHyir/V254rk53mu9c31sHwA&#10;EXGI/2Y44zM65My090eyQTQa7rhJ1DCegjir6l7xYc9TksxA5pm8LJD/AQAA//8DAFBLAQItABQA&#10;BgAIAAAAIQC2gziS/gAAAOEBAAATAAAAAAAAAAAAAAAAAAAAAABbQ29udGVudF9UeXBlc10ueG1s&#10;UEsBAi0AFAAGAAgAAAAhADj9If/WAAAAlAEAAAsAAAAAAAAAAAAAAAAALwEAAF9yZWxzLy5yZWxz&#10;UEsBAi0AFAAGAAgAAAAhAGtMfp/OAgAA1QUAAA4AAAAAAAAAAAAAAAAALgIAAGRycy9lMm9Eb2Mu&#10;eG1sUEsBAi0AFAAGAAgAAAAhAIP5pmHfAAAACAEAAA8AAAAAAAAAAAAAAAAAKAUAAGRycy9kb3du&#10;cmV2LnhtbFBLBQYAAAAABAAEAPMAAAA0BgAAAAA=&#10;" fillcolor="#ededed" stroked="f">
                      <v:fill rotate="t" focus="50%" type="gradient"/>
                      <v:textbox>
                        <w:txbxContent>
                          <w:p w:rsidR="00CA2E82" w:rsidRDefault="00CA2E82"/>
                        </w:txbxContent>
                      </v:textbox>
                    </v:shape>
                  </w:pict>
                </mc:Fallback>
              </mc:AlternateContent>
            </w:r>
            <w:r w:rsidR="00161123" w:rsidRPr="00801C5E">
              <w:rPr>
                <w:rFonts w:eastAsia="標楷體" w:hAnsi="標楷體"/>
                <w:b/>
                <w:bCs/>
                <w:sz w:val="28"/>
              </w:rPr>
              <w:t>最近</w:t>
            </w:r>
            <w:proofErr w:type="gramStart"/>
            <w:r w:rsidR="00161123" w:rsidRPr="00801C5E">
              <w:rPr>
                <w:rFonts w:eastAsia="標楷體" w:hAnsi="標楷體"/>
                <w:b/>
                <w:bCs/>
                <w:sz w:val="28"/>
              </w:rPr>
              <w:t>五</w:t>
            </w:r>
            <w:proofErr w:type="gramEnd"/>
            <w:r w:rsidR="00161123" w:rsidRPr="00801C5E">
              <w:rPr>
                <w:rFonts w:eastAsia="標楷體" w:hAnsi="標楷體"/>
                <w:b/>
                <w:bCs/>
                <w:sz w:val="28"/>
              </w:rPr>
              <w:t>年度簡明資產負債表</w:t>
            </w:r>
          </w:p>
          <w:p w:rsidR="00161123" w:rsidRPr="00801C5E" w:rsidRDefault="00161123" w:rsidP="00CA2E82">
            <w:pPr>
              <w:jc w:val="right"/>
              <w:rPr>
                <w:rFonts w:eastAsia="標楷體"/>
                <w:b/>
                <w:bCs/>
                <w:sz w:val="28"/>
              </w:rPr>
            </w:pPr>
            <w:r w:rsidRPr="00801C5E">
              <w:rPr>
                <w:rFonts w:eastAsia="標楷體" w:hAnsi="標楷體"/>
              </w:rPr>
              <w:t>單位：新台幣仟元</w:t>
            </w:r>
          </w:p>
          <w:p w:rsidR="00161123" w:rsidRPr="00801C5E" w:rsidRDefault="00161123">
            <w:pPr>
              <w:ind w:firstLineChars="1500" w:firstLine="3600"/>
              <w:rPr>
                <w:rFonts w:eastAsia="標楷體"/>
              </w:rPr>
            </w:pPr>
          </w:p>
          <w:p w:rsidR="00161123" w:rsidRPr="00801C5E" w:rsidRDefault="00161123">
            <w:pPr>
              <w:ind w:firstLineChars="1500" w:firstLine="3600"/>
              <w:rPr>
                <w:rFonts w:eastAsia="標楷體"/>
              </w:rPr>
            </w:pPr>
          </w:p>
          <w:p w:rsidR="00161123" w:rsidRPr="00801C5E" w:rsidRDefault="00161123">
            <w:pPr>
              <w:ind w:firstLineChars="1500" w:firstLine="3600"/>
              <w:rPr>
                <w:rFonts w:eastAsia="標楷體"/>
              </w:rPr>
            </w:pPr>
            <w:r w:rsidRPr="00801C5E">
              <w:rPr>
                <w:rFonts w:eastAsia="標楷體"/>
              </w:rPr>
              <w:t xml:space="preserve">         </w:t>
            </w:r>
          </w:p>
          <w:p w:rsidR="00161123" w:rsidRPr="00801C5E" w:rsidRDefault="00161123">
            <w:pPr>
              <w:ind w:firstLineChars="900" w:firstLine="2160"/>
              <w:rPr>
                <w:rFonts w:eastAsia="標楷體"/>
              </w:rPr>
            </w:pPr>
            <w:r w:rsidRPr="00801C5E">
              <w:rPr>
                <w:rFonts w:eastAsia="標楷體"/>
              </w:rPr>
              <w:t xml:space="preserve">                    </w:t>
            </w:r>
            <w:r w:rsidRPr="00801C5E">
              <w:rPr>
                <w:rFonts w:eastAsia="標楷體" w:hAnsi="標楷體"/>
              </w:rPr>
              <w:t>單位：新台幣仟元</w:t>
            </w:r>
          </w:p>
        </w:tc>
      </w:tr>
      <w:tr w:rsidR="00CA2E82" w:rsidRPr="00801C5E" w:rsidTr="00F92973">
        <w:tc>
          <w:tcPr>
            <w:tcW w:w="2311" w:type="dxa"/>
            <w:gridSpan w:val="2"/>
            <w:tcBorders>
              <w:top w:val="single" w:sz="6" w:space="0" w:color="auto"/>
              <w:left w:val="single" w:sz="12" w:space="0" w:color="auto"/>
              <w:bottom w:val="single" w:sz="6" w:space="0" w:color="auto"/>
              <w:right w:val="single" w:sz="6" w:space="0" w:color="auto"/>
              <w:tl2br w:val="single" w:sz="6" w:space="0" w:color="auto"/>
            </w:tcBorders>
            <w:shd w:val="clear" w:color="auto" w:fill="auto"/>
            <w:vAlign w:val="center"/>
          </w:tcPr>
          <w:p w:rsidR="00CA2E82" w:rsidRPr="00801C5E" w:rsidRDefault="00CA2E82">
            <w:pPr>
              <w:ind w:left="57" w:right="57"/>
              <w:jc w:val="right"/>
              <w:rPr>
                <w:rFonts w:eastAsia="標楷體"/>
              </w:rPr>
            </w:pPr>
            <w:r w:rsidRPr="00801C5E">
              <w:rPr>
                <w:rFonts w:eastAsia="標楷體" w:hAnsi="標楷體"/>
              </w:rPr>
              <w:t>年度</w:t>
            </w:r>
          </w:p>
          <w:p w:rsidR="00CA2E82" w:rsidRPr="00801C5E" w:rsidRDefault="00CA2E82">
            <w:pPr>
              <w:rPr>
                <w:rFonts w:eastAsia="標楷體"/>
              </w:rPr>
            </w:pPr>
            <w:r w:rsidRPr="00801C5E">
              <w:rPr>
                <w:rFonts w:eastAsia="標楷體" w:hAnsi="標楷體"/>
              </w:rPr>
              <w:t>項目</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CA2E82" w:rsidRPr="00D320A4" w:rsidRDefault="00CA2E82" w:rsidP="00CA2E82">
            <w:pPr>
              <w:jc w:val="center"/>
              <w:rPr>
                <w:rFonts w:eastAsia="標楷體"/>
              </w:rPr>
            </w:pPr>
            <w:r w:rsidRPr="00D320A4">
              <w:rPr>
                <w:rFonts w:eastAsia="標楷體"/>
              </w:rPr>
              <w:t>99</w:t>
            </w:r>
            <w:r w:rsidRPr="00D320A4">
              <w:rPr>
                <w:rFonts w:eastAsia="標楷體"/>
              </w:rPr>
              <w:t>年</w:t>
            </w:r>
            <w:r>
              <w:rPr>
                <w:rFonts w:eastAsia="標楷體" w:hint="eastAsia"/>
              </w:rPr>
              <w:t>(</w:t>
            </w:r>
            <w:proofErr w:type="gramStart"/>
            <w:r>
              <w:rPr>
                <w:rFonts w:eastAsia="標楷體" w:hint="eastAsia"/>
              </w:rPr>
              <w:t>註</w:t>
            </w:r>
            <w:proofErr w:type="gramEnd"/>
            <w:r>
              <w:rPr>
                <w:rFonts w:eastAsia="標楷體" w:hint="eastAsia"/>
              </w:rPr>
              <w:t>1)</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CA2E82" w:rsidRPr="00D320A4" w:rsidRDefault="00CA2E82" w:rsidP="00CA2E82">
            <w:pPr>
              <w:jc w:val="center"/>
              <w:rPr>
                <w:rFonts w:eastAsia="標楷體"/>
              </w:rPr>
            </w:pPr>
            <w:r w:rsidRPr="00D320A4">
              <w:rPr>
                <w:rFonts w:eastAsia="標楷體"/>
              </w:rPr>
              <w:t>100</w:t>
            </w:r>
            <w:r w:rsidRPr="00D320A4">
              <w:rPr>
                <w:rFonts w:eastAsia="標楷體"/>
              </w:rPr>
              <w:t>年</w:t>
            </w:r>
            <w:r>
              <w:rPr>
                <w:rFonts w:eastAsia="標楷體" w:hint="eastAsia"/>
              </w:rPr>
              <w:t>(</w:t>
            </w:r>
            <w:proofErr w:type="gramStart"/>
            <w:r>
              <w:rPr>
                <w:rFonts w:eastAsia="標楷體" w:hint="eastAsia"/>
              </w:rPr>
              <w:t>註</w:t>
            </w:r>
            <w:proofErr w:type="gramEnd"/>
            <w:r>
              <w:rPr>
                <w:rFonts w:eastAsia="標楷體" w:hint="eastAsia"/>
              </w:rPr>
              <w:t>1)</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CA2E82" w:rsidRPr="00D320A4" w:rsidRDefault="00CA2E82" w:rsidP="00CA2E82">
            <w:pPr>
              <w:jc w:val="center"/>
              <w:rPr>
                <w:rFonts w:eastAsia="標楷體"/>
              </w:rPr>
            </w:pPr>
            <w:r w:rsidRPr="00D320A4">
              <w:rPr>
                <w:rFonts w:eastAsia="標楷體"/>
              </w:rPr>
              <w:t>101</w:t>
            </w:r>
            <w:r w:rsidRPr="00D320A4">
              <w:rPr>
                <w:rFonts w:eastAsia="標楷體"/>
              </w:rPr>
              <w:t>年</w:t>
            </w:r>
            <w:r>
              <w:rPr>
                <w:rFonts w:eastAsia="標楷體" w:hint="eastAsia"/>
              </w:rPr>
              <w:t>(</w:t>
            </w:r>
            <w:proofErr w:type="gramStart"/>
            <w:r>
              <w:rPr>
                <w:rFonts w:eastAsia="標楷體" w:hint="eastAsia"/>
              </w:rPr>
              <w:t>註</w:t>
            </w:r>
            <w:proofErr w:type="gramEnd"/>
            <w:r>
              <w:rPr>
                <w:rFonts w:eastAsia="標楷體" w:hint="eastAsia"/>
              </w:rPr>
              <w:t>1)</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CA2E82" w:rsidRPr="00D320A4" w:rsidRDefault="00CA2E82" w:rsidP="00CA2E82">
            <w:pPr>
              <w:jc w:val="center"/>
              <w:rPr>
                <w:rFonts w:eastAsia="標楷體"/>
              </w:rPr>
            </w:pPr>
            <w:r w:rsidRPr="00D320A4">
              <w:rPr>
                <w:rFonts w:eastAsia="標楷體"/>
              </w:rPr>
              <w:t>102</w:t>
            </w:r>
            <w:r w:rsidRPr="00D320A4">
              <w:rPr>
                <w:rFonts w:eastAsia="標楷體"/>
              </w:rPr>
              <w:t>年</w:t>
            </w:r>
            <w:r w:rsidRPr="00D320A4">
              <w:rPr>
                <w:rFonts w:eastAsia="標楷體"/>
              </w:rPr>
              <w:t>(</w:t>
            </w:r>
            <w:proofErr w:type="gramStart"/>
            <w:r w:rsidRPr="00D320A4">
              <w:rPr>
                <w:rFonts w:eastAsia="標楷體"/>
              </w:rPr>
              <w:t>註</w:t>
            </w:r>
            <w:proofErr w:type="gramEnd"/>
            <w:r>
              <w:rPr>
                <w:rFonts w:eastAsia="標楷體" w:hint="eastAsia"/>
              </w:rPr>
              <w:t>2</w:t>
            </w:r>
            <w:r w:rsidRPr="00D320A4">
              <w:rPr>
                <w:rFonts w:eastAsia="標楷體"/>
              </w:rPr>
              <w:t>)</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CA2E82" w:rsidRPr="00D320A4" w:rsidRDefault="00CA2E82" w:rsidP="00CA2E82">
            <w:pPr>
              <w:jc w:val="center"/>
              <w:rPr>
                <w:rFonts w:eastAsia="標楷體"/>
              </w:rPr>
            </w:pPr>
            <w:r w:rsidRPr="00D320A4">
              <w:rPr>
                <w:rFonts w:eastAsia="標楷體"/>
              </w:rPr>
              <w:t>103</w:t>
            </w:r>
            <w:r w:rsidRPr="00D320A4">
              <w:rPr>
                <w:rFonts w:eastAsia="標楷體"/>
              </w:rPr>
              <w:t>年</w:t>
            </w:r>
            <w:r w:rsidRPr="00D320A4">
              <w:rPr>
                <w:rFonts w:eastAsia="標楷體"/>
              </w:rPr>
              <w:t>(</w:t>
            </w:r>
            <w:proofErr w:type="gramStart"/>
            <w:r w:rsidRPr="00D320A4">
              <w:rPr>
                <w:rFonts w:eastAsia="標楷體"/>
              </w:rPr>
              <w:t>註</w:t>
            </w:r>
            <w:proofErr w:type="gramEnd"/>
            <w:r>
              <w:rPr>
                <w:rFonts w:eastAsia="標楷體" w:hint="eastAsia"/>
              </w:rPr>
              <w:t>3</w:t>
            </w:r>
            <w:r w:rsidRPr="00D320A4">
              <w:rPr>
                <w:rFonts w:eastAsia="標楷體"/>
              </w:rPr>
              <w:t>)</w:t>
            </w:r>
          </w:p>
        </w:tc>
      </w:tr>
      <w:tr w:rsidR="00DA608A" w:rsidRPr="00801C5E" w:rsidTr="00F92973">
        <w:tc>
          <w:tcPr>
            <w:tcW w:w="231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A608A" w:rsidRPr="00F92973" w:rsidRDefault="00DA608A" w:rsidP="00F92973">
            <w:pPr>
              <w:jc w:val="distribute"/>
              <w:rPr>
                <w:rFonts w:eastAsia="標楷體" w:hAnsi="標楷體"/>
              </w:rPr>
            </w:pPr>
            <w:r w:rsidRPr="00F92973">
              <w:rPr>
                <w:rFonts w:eastAsia="標楷體" w:hAnsi="標楷體" w:hint="eastAsia"/>
              </w:rPr>
              <w:t>流動資產</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435,158</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478,048</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469,389</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190,730</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DA608A" w:rsidRPr="00DA608A" w:rsidRDefault="00DA608A" w:rsidP="00DA608A">
            <w:pPr>
              <w:spacing w:line="320" w:lineRule="exact"/>
              <w:jc w:val="right"/>
              <w:rPr>
                <w:rFonts w:eastAsia="標楷體"/>
              </w:rPr>
            </w:pPr>
            <w:r w:rsidRPr="00DA608A">
              <w:rPr>
                <w:rFonts w:eastAsia="標楷體"/>
              </w:rPr>
              <w:t>565,982</w:t>
            </w:r>
          </w:p>
        </w:tc>
      </w:tr>
      <w:tr w:rsidR="00DA608A" w:rsidRPr="00801C5E" w:rsidTr="00F92973">
        <w:tc>
          <w:tcPr>
            <w:tcW w:w="231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A608A" w:rsidRPr="00F92973" w:rsidRDefault="00DA608A" w:rsidP="00F92973">
            <w:pPr>
              <w:jc w:val="distribute"/>
              <w:rPr>
                <w:rFonts w:eastAsia="標楷體" w:hAnsi="標楷體"/>
              </w:rPr>
            </w:pPr>
            <w:r w:rsidRPr="00F92973">
              <w:rPr>
                <w:rFonts w:eastAsia="標楷體" w:hAnsi="標楷體" w:hint="eastAsia"/>
              </w:rPr>
              <w:t>基金及投資</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103,255</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156,053</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146,051</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214,774</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DA608A" w:rsidRPr="00DA608A" w:rsidRDefault="00DA608A" w:rsidP="00DA608A">
            <w:pPr>
              <w:spacing w:line="320" w:lineRule="exact"/>
              <w:jc w:val="right"/>
              <w:rPr>
                <w:rFonts w:eastAsia="標楷體"/>
              </w:rPr>
            </w:pPr>
            <w:r w:rsidRPr="00DA608A">
              <w:rPr>
                <w:rFonts w:eastAsia="標楷體"/>
              </w:rPr>
              <w:t>17,160</w:t>
            </w:r>
          </w:p>
        </w:tc>
      </w:tr>
      <w:tr w:rsidR="00DA608A" w:rsidRPr="00801C5E" w:rsidTr="00F92973">
        <w:tc>
          <w:tcPr>
            <w:tcW w:w="231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A608A" w:rsidRPr="00F92973" w:rsidRDefault="00DA608A" w:rsidP="00F92973">
            <w:pPr>
              <w:jc w:val="distribute"/>
              <w:rPr>
                <w:rFonts w:eastAsia="標楷體" w:hAnsi="標楷體"/>
              </w:rPr>
            </w:pPr>
            <w:r w:rsidRPr="00F92973">
              <w:rPr>
                <w:rFonts w:eastAsia="標楷體" w:hAnsi="標楷體" w:hint="eastAsia"/>
              </w:rPr>
              <w:t>固定資產</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44,600</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43,254</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78,503</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42,685</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DA608A" w:rsidRPr="00DA608A" w:rsidRDefault="00DA608A" w:rsidP="00DA608A">
            <w:pPr>
              <w:spacing w:line="320" w:lineRule="exact"/>
              <w:jc w:val="right"/>
              <w:rPr>
                <w:rFonts w:eastAsia="標楷體"/>
              </w:rPr>
            </w:pPr>
            <w:r w:rsidRPr="00DA608A">
              <w:rPr>
                <w:rFonts w:eastAsia="標楷體"/>
              </w:rPr>
              <w:t>60,140</w:t>
            </w:r>
          </w:p>
        </w:tc>
      </w:tr>
      <w:tr w:rsidR="00DA608A" w:rsidRPr="00801C5E" w:rsidTr="00F92973">
        <w:tc>
          <w:tcPr>
            <w:tcW w:w="231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A608A" w:rsidRPr="00F92973" w:rsidRDefault="00DA608A" w:rsidP="00F92973">
            <w:pPr>
              <w:jc w:val="distribute"/>
              <w:rPr>
                <w:rFonts w:eastAsia="標楷體" w:hAnsi="標楷體"/>
              </w:rPr>
            </w:pPr>
            <w:r w:rsidRPr="00F92973">
              <w:rPr>
                <w:rFonts w:eastAsia="標楷體" w:hAnsi="標楷體" w:hint="eastAsia"/>
              </w:rPr>
              <w:t>無形資產</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1,800</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3,476</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proofErr w:type="gramStart"/>
            <w:r w:rsidRPr="00F92973">
              <w:rPr>
                <w:rFonts w:eastAsia="標楷體" w:hint="eastAsia"/>
              </w:rPr>
              <w:t>─</w:t>
            </w:r>
            <w:proofErr w:type="gramEnd"/>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proofErr w:type="gramStart"/>
            <w:r w:rsidRPr="00F92973">
              <w:rPr>
                <w:rFonts w:eastAsia="標楷體" w:hint="eastAsia"/>
              </w:rPr>
              <w:t>─</w:t>
            </w:r>
            <w:proofErr w:type="gramEnd"/>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DA608A" w:rsidRPr="00DA608A" w:rsidRDefault="00DA608A" w:rsidP="00DA608A">
            <w:pPr>
              <w:spacing w:line="320" w:lineRule="exact"/>
              <w:jc w:val="right"/>
              <w:rPr>
                <w:rFonts w:eastAsia="標楷體"/>
              </w:rPr>
            </w:pPr>
            <w:r w:rsidRPr="00DA608A">
              <w:rPr>
                <w:rFonts w:eastAsia="標楷體"/>
              </w:rPr>
              <w:t>6,526</w:t>
            </w:r>
          </w:p>
        </w:tc>
      </w:tr>
      <w:tr w:rsidR="00DA608A" w:rsidRPr="00801C5E" w:rsidTr="00F92973">
        <w:tc>
          <w:tcPr>
            <w:tcW w:w="231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A608A" w:rsidRPr="00F92973" w:rsidRDefault="00DA608A" w:rsidP="00F92973">
            <w:pPr>
              <w:jc w:val="distribute"/>
              <w:rPr>
                <w:rFonts w:eastAsia="標楷體" w:hAnsi="標楷體"/>
              </w:rPr>
            </w:pPr>
            <w:r w:rsidRPr="00F92973">
              <w:rPr>
                <w:rFonts w:eastAsia="標楷體" w:hAnsi="標楷體" w:hint="eastAsia"/>
              </w:rPr>
              <w:t>其他資產</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29,528</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24,839</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21,354</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3,574</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DA608A" w:rsidRPr="00DA608A" w:rsidRDefault="00DA608A" w:rsidP="00DA608A">
            <w:pPr>
              <w:spacing w:line="320" w:lineRule="exact"/>
              <w:jc w:val="right"/>
              <w:rPr>
                <w:rFonts w:eastAsia="標楷體"/>
              </w:rPr>
            </w:pPr>
            <w:r w:rsidRPr="00DA608A">
              <w:rPr>
                <w:rFonts w:eastAsia="標楷體"/>
              </w:rPr>
              <w:t>5,644</w:t>
            </w:r>
          </w:p>
        </w:tc>
      </w:tr>
      <w:tr w:rsidR="00DA608A" w:rsidRPr="00801C5E" w:rsidTr="00F92973">
        <w:tc>
          <w:tcPr>
            <w:tcW w:w="231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A608A" w:rsidRPr="00F92973" w:rsidRDefault="00DA608A" w:rsidP="00F92973">
            <w:pPr>
              <w:jc w:val="distribute"/>
              <w:rPr>
                <w:rFonts w:eastAsia="標楷體" w:hAnsi="標楷體"/>
              </w:rPr>
            </w:pPr>
            <w:r w:rsidRPr="00F92973">
              <w:rPr>
                <w:rFonts w:eastAsia="標楷體" w:hAnsi="標楷體" w:hint="eastAsia"/>
              </w:rPr>
              <w:t>資產總額</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614,341</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705,670</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715,297</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F92973" w:rsidRDefault="00DA608A" w:rsidP="00F92973">
            <w:pPr>
              <w:spacing w:line="320" w:lineRule="exact"/>
              <w:jc w:val="right"/>
              <w:rPr>
                <w:rFonts w:eastAsia="標楷體"/>
              </w:rPr>
            </w:pPr>
            <w:r w:rsidRPr="00F92973">
              <w:rPr>
                <w:rFonts w:eastAsia="標楷體"/>
              </w:rPr>
              <w:t>451,763</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DA608A" w:rsidRPr="00DA608A" w:rsidRDefault="00DA608A" w:rsidP="00DA608A">
            <w:pPr>
              <w:spacing w:line="320" w:lineRule="exact"/>
              <w:jc w:val="right"/>
              <w:rPr>
                <w:rFonts w:eastAsia="標楷體"/>
              </w:rPr>
            </w:pPr>
            <w:r w:rsidRPr="00DA608A">
              <w:rPr>
                <w:rFonts w:eastAsia="標楷體"/>
              </w:rPr>
              <w:t>655,452</w:t>
            </w:r>
          </w:p>
        </w:tc>
      </w:tr>
      <w:tr w:rsidR="00DA608A" w:rsidRPr="00801C5E" w:rsidTr="00A119D1">
        <w:trPr>
          <w:cantSplit/>
        </w:trPr>
        <w:tc>
          <w:tcPr>
            <w:tcW w:w="1177"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A608A" w:rsidRPr="00801C5E" w:rsidRDefault="00DA608A" w:rsidP="00D752D6">
            <w:pPr>
              <w:jc w:val="distribute"/>
              <w:rPr>
                <w:rFonts w:eastAsia="標楷體"/>
              </w:rPr>
            </w:pPr>
            <w:r w:rsidRPr="00801C5E">
              <w:rPr>
                <w:rFonts w:eastAsia="標楷體" w:hAnsi="標楷體"/>
              </w:rPr>
              <w:t>流動</w:t>
            </w:r>
          </w:p>
          <w:p w:rsidR="00DA608A" w:rsidRPr="00801C5E" w:rsidRDefault="00DA608A" w:rsidP="00D752D6">
            <w:pPr>
              <w:jc w:val="distribute"/>
              <w:rPr>
                <w:rFonts w:eastAsia="標楷體"/>
              </w:rPr>
            </w:pPr>
            <w:r w:rsidRPr="00801C5E">
              <w:rPr>
                <w:rFonts w:eastAsia="標楷體" w:hAnsi="標楷體"/>
              </w:rPr>
              <w:t>負債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A608A" w:rsidRPr="00801C5E" w:rsidRDefault="00DA608A" w:rsidP="00C8529C">
            <w:pPr>
              <w:pStyle w:val="ac"/>
              <w:adjustRightInd/>
              <w:snapToGrid/>
              <w:spacing w:line="240" w:lineRule="auto"/>
              <w:jc w:val="center"/>
              <w:textAlignment w:val="auto"/>
              <w:rPr>
                <w:kern w:val="2"/>
                <w:szCs w:val="24"/>
              </w:rPr>
            </w:pPr>
            <w:r w:rsidRPr="00801C5E">
              <w:rPr>
                <w:rFonts w:hAnsi="標楷體"/>
                <w:kern w:val="2"/>
                <w:szCs w:val="24"/>
              </w:rPr>
              <w:t>分</w:t>
            </w:r>
            <w:r w:rsidRPr="00801C5E">
              <w:rPr>
                <w:rFonts w:hAnsi="標楷體" w:hint="eastAsia"/>
                <w:kern w:val="2"/>
                <w:szCs w:val="24"/>
              </w:rPr>
              <w:t xml:space="preserve"> </w:t>
            </w:r>
            <w:r w:rsidRPr="00801C5E">
              <w:rPr>
                <w:rFonts w:hAnsi="標楷體"/>
                <w:kern w:val="2"/>
                <w:szCs w:val="24"/>
              </w:rPr>
              <w:t>配</w:t>
            </w:r>
            <w:r w:rsidRPr="00801C5E">
              <w:rPr>
                <w:rFonts w:hAnsi="標楷體" w:hint="eastAsia"/>
                <w:kern w:val="2"/>
                <w:szCs w:val="24"/>
              </w:rPr>
              <w:t xml:space="preserve"> </w:t>
            </w:r>
            <w:r w:rsidRPr="00801C5E">
              <w:rPr>
                <w:rFonts w:hAnsi="標楷體"/>
                <w:kern w:val="2"/>
                <w:szCs w:val="24"/>
              </w:rPr>
              <w:t>前</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288,709</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342,481</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338,638</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111,595</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DA608A" w:rsidRPr="001909AD" w:rsidRDefault="00DA608A" w:rsidP="00275226">
            <w:pPr>
              <w:ind w:rightChars="20" w:right="48"/>
              <w:jc w:val="right"/>
            </w:pPr>
            <w:r w:rsidRPr="001909AD">
              <w:t>162,017</w:t>
            </w:r>
          </w:p>
        </w:tc>
      </w:tr>
      <w:tr w:rsidR="00DA608A" w:rsidRPr="00801C5E" w:rsidTr="00C8529C">
        <w:trPr>
          <w:cantSplit/>
        </w:trPr>
        <w:tc>
          <w:tcPr>
            <w:tcW w:w="117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A608A" w:rsidRPr="00801C5E" w:rsidRDefault="00DA608A" w:rsidP="00D752D6">
            <w:pPr>
              <w:jc w:val="distribute"/>
              <w:rPr>
                <w:rFonts w:eastAsia="標楷體"/>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A608A" w:rsidRPr="00801C5E" w:rsidRDefault="00DA608A" w:rsidP="00C8529C">
            <w:pPr>
              <w:jc w:val="center"/>
              <w:rPr>
                <w:rFonts w:eastAsia="標楷體"/>
              </w:rPr>
            </w:pPr>
            <w:r w:rsidRPr="00801C5E">
              <w:rPr>
                <w:rFonts w:eastAsia="標楷體" w:hAnsi="標楷體"/>
              </w:rPr>
              <w:t>分</w:t>
            </w:r>
            <w:r w:rsidRPr="00801C5E">
              <w:rPr>
                <w:rFonts w:eastAsia="標楷體" w:hAnsi="標楷體" w:hint="eastAsia"/>
              </w:rPr>
              <w:t xml:space="preserve"> </w:t>
            </w:r>
            <w:r w:rsidRPr="00801C5E">
              <w:rPr>
                <w:rFonts w:eastAsia="標楷體" w:hAnsi="標楷體"/>
              </w:rPr>
              <w:t>配</w:t>
            </w:r>
            <w:r w:rsidRPr="00801C5E">
              <w:rPr>
                <w:rFonts w:eastAsia="標楷體" w:hAnsi="標楷體" w:hint="eastAsia"/>
              </w:rPr>
              <w:t xml:space="preserve"> </w:t>
            </w:r>
            <w:r w:rsidRPr="00801C5E">
              <w:rPr>
                <w:rFonts w:eastAsia="標楷體" w:hAnsi="標楷體"/>
              </w:rPr>
              <w:t>後</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Pr>
                <w:rFonts w:hint="eastAsia"/>
              </w:rPr>
              <w:t>321</w:t>
            </w:r>
            <w:r w:rsidRPr="00982DBD">
              <w:t>,</w:t>
            </w:r>
            <w:r>
              <w:rPr>
                <w:rFonts w:hint="eastAsia"/>
              </w:rPr>
              <w:t>90</w:t>
            </w:r>
            <w:r w:rsidRPr="00982DBD">
              <w:t>4</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Pr>
                <w:rFonts w:hint="eastAsia"/>
              </w:rPr>
              <w:t>364</w:t>
            </w:r>
            <w:r w:rsidRPr="00982DBD">
              <w:t>,</w:t>
            </w:r>
            <w:r>
              <w:rPr>
                <w:rFonts w:hint="eastAsia"/>
              </w:rPr>
              <w:t>61</w:t>
            </w:r>
            <w:r w:rsidRPr="00982DBD">
              <w:t>1</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Pr>
                <w:rFonts w:hint="eastAsia"/>
              </w:rPr>
              <w:t>371</w:t>
            </w:r>
            <w:r w:rsidRPr="00982DBD">
              <w:t>,</w:t>
            </w:r>
            <w:r>
              <w:rPr>
                <w:rFonts w:hint="eastAsia"/>
              </w:rPr>
              <w:t>83</w:t>
            </w:r>
            <w:r w:rsidRPr="00982DBD">
              <w:t>3</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Pr>
                <w:rFonts w:hint="eastAsia"/>
              </w:rPr>
              <w:t>144</w:t>
            </w:r>
            <w:r w:rsidRPr="00982DBD">
              <w:t>,</w:t>
            </w:r>
            <w:r>
              <w:rPr>
                <w:rFonts w:hint="eastAsia"/>
              </w:rPr>
              <w:t>79</w:t>
            </w:r>
            <w:r w:rsidRPr="00982DBD">
              <w:t>0</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DA608A" w:rsidRPr="001909AD" w:rsidRDefault="00DA608A" w:rsidP="00275226">
            <w:pPr>
              <w:ind w:rightChars="20" w:right="48"/>
              <w:jc w:val="right"/>
            </w:pPr>
            <w:r>
              <w:rPr>
                <w:rFonts w:hint="eastAsia"/>
              </w:rPr>
              <w:t>206</w:t>
            </w:r>
            <w:r w:rsidRPr="001909AD">
              <w:t>,017</w:t>
            </w:r>
          </w:p>
        </w:tc>
      </w:tr>
      <w:tr w:rsidR="00EE57BF" w:rsidRPr="00801C5E" w:rsidTr="0033772A">
        <w:trPr>
          <w:cantSplit/>
        </w:trPr>
        <w:tc>
          <w:tcPr>
            <w:tcW w:w="231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EE57BF" w:rsidRPr="00801C5E" w:rsidRDefault="00EE57BF" w:rsidP="007B14ED">
            <w:pPr>
              <w:jc w:val="distribute"/>
              <w:rPr>
                <w:rFonts w:eastAsia="標楷體" w:hAnsi="標楷體"/>
              </w:rPr>
            </w:pPr>
            <w:r w:rsidRPr="007B14ED">
              <w:rPr>
                <w:rFonts w:eastAsia="標楷體" w:hAnsi="標楷體" w:hint="eastAsia"/>
              </w:rPr>
              <w:t>長期負債</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EE57BF" w:rsidRPr="00982DBD" w:rsidRDefault="00EE57BF" w:rsidP="00275226">
            <w:pPr>
              <w:ind w:rightChars="20" w:right="48"/>
              <w:jc w:val="right"/>
            </w:pPr>
            <w:proofErr w:type="gramStart"/>
            <w:r w:rsidRPr="00982DBD">
              <w:rPr>
                <w:rFonts w:hint="eastAsia"/>
              </w:rPr>
              <w:t>─</w:t>
            </w:r>
            <w:proofErr w:type="gramEnd"/>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EE57BF" w:rsidRPr="00982DBD" w:rsidRDefault="00EE57BF" w:rsidP="00275226">
            <w:pPr>
              <w:ind w:rightChars="20" w:right="48"/>
              <w:jc w:val="right"/>
            </w:pPr>
            <w:proofErr w:type="gramStart"/>
            <w:r w:rsidRPr="00982DBD">
              <w:rPr>
                <w:rFonts w:hint="eastAsia"/>
              </w:rPr>
              <w:t>─</w:t>
            </w:r>
            <w:proofErr w:type="gramEnd"/>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EE57BF" w:rsidRPr="00982DBD" w:rsidRDefault="00EE57BF" w:rsidP="00275226">
            <w:pPr>
              <w:ind w:rightChars="20" w:right="48"/>
              <w:jc w:val="right"/>
            </w:pPr>
            <w:proofErr w:type="gramStart"/>
            <w:r w:rsidRPr="00982DBD">
              <w:rPr>
                <w:rFonts w:hint="eastAsia"/>
              </w:rPr>
              <w:t>─</w:t>
            </w:r>
            <w:proofErr w:type="gramEnd"/>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EE57BF" w:rsidRPr="00982DBD" w:rsidRDefault="00EE57BF" w:rsidP="00275226">
            <w:pPr>
              <w:ind w:rightChars="20" w:right="48"/>
              <w:jc w:val="right"/>
            </w:pPr>
            <w:proofErr w:type="gramStart"/>
            <w:r w:rsidRPr="00982DBD">
              <w:rPr>
                <w:rFonts w:hint="eastAsia"/>
              </w:rPr>
              <w:t>─</w:t>
            </w:r>
            <w:proofErr w:type="gramEnd"/>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EE57BF" w:rsidRPr="00F92973" w:rsidRDefault="00DA608A" w:rsidP="00D752D6">
            <w:pPr>
              <w:ind w:rightChars="-3" w:right="-7"/>
              <w:jc w:val="right"/>
              <w:rPr>
                <w:rFonts w:eastAsia="標楷體"/>
                <w:color w:val="000000"/>
                <w:highlight w:val="yellow"/>
              </w:rPr>
            </w:pPr>
            <w:proofErr w:type="gramStart"/>
            <w:r w:rsidRPr="00982DBD">
              <w:rPr>
                <w:rFonts w:hint="eastAsia"/>
              </w:rPr>
              <w:t>─</w:t>
            </w:r>
            <w:proofErr w:type="gramEnd"/>
          </w:p>
        </w:tc>
      </w:tr>
      <w:tr w:rsidR="00EE57BF" w:rsidRPr="00801C5E" w:rsidTr="00F92973">
        <w:tc>
          <w:tcPr>
            <w:tcW w:w="231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EE57BF" w:rsidRPr="00801C5E" w:rsidRDefault="00EE57BF" w:rsidP="00D752D6">
            <w:pPr>
              <w:jc w:val="distribute"/>
              <w:rPr>
                <w:rFonts w:eastAsia="標楷體"/>
              </w:rPr>
            </w:pPr>
            <w:r>
              <w:rPr>
                <w:rFonts w:eastAsia="標楷體" w:hAnsi="標楷體" w:hint="eastAsia"/>
              </w:rPr>
              <w:t>其他</w:t>
            </w:r>
            <w:r w:rsidRPr="00801C5E">
              <w:rPr>
                <w:rFonts w:eastAsia="標楷體" w:hAnsi="標楷體"/>
              </w:rPr>
              <w:t>負債</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EE57BF" w:rsidRPr="00982DBD" w:rsidRDefault="00EE57BF" w:rsidP="00275226">
            <w:pPr>
              <w:ind w:rightChars="20" w:right="48"/>
              <w:jc w:val="right"/>
            </w:pPr>
            <w:r w:rsidRPr="00982DBD">
              <w:t>7,684</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EE57BF" w:rsidRPr="00982DBD" w:rsidRDefault="00EE57BF" w:rsidP="00275226">
            <w:pPr>
              <w:ind w:rightChars="20" w:right="48"/>
              <w:jc w:val="right"/>
            </w:pPr>
            <w:r w:rsidRPr="00982DBD">
              <w:t>14,892</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EE57BF" w:rsidRPr="00982DBD" w:rsidRDefault="00EE57BF" w:rsidP="00275226">
            <w:pPr>
              <w:ind w:rightChars="20" w:right="48"/>
              <w:jc w:val="right"/>
            </w:pPr>
            <w:r w:rsidRPr="00982DBD">
              <w:t>16,149</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EE57BF" w:rsidRPr="00982DBD" w:rsidRDefault="00EE57BF" w:rsidP="00275226">
            <w:pPr>
              <w:ind w:rightChars="20" w:right="48"/>
              <w:jc w:val="right"/>
            </w:pPr>
            <w:r w:rsidRPr="00982DBD">
              <w:t>18,972</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EE57BF" w:rsidRPr="00DA608A" w:rsidRDefault="00EE57BF" w:rsidP="00DC2B94">
            <w:pPr>
              <w:spacing w:line="320" w:lineRule="exact"/>
              <w:jc w:val="right"/>
              <w:rPr>
                <w:rFonts w:eastAsia="標楷體"/>
              </w:rPr>
            </w:pPr>
            <w:r w:rsidRPr="00DA608A">
              <w:rPr>
                <w:rFonts w:eastAsia="標楷體"/>
              </w:rPr>
              <w:t>1</w:t>
            </w:r>
            <w:r w:rsidR="00DC2B94">
              <w:rPr>
                <w:rFonts w:eastAsia="標楷體" w:hint="eastAsia"/>
              </w:rPr>
              <w:t>9,175</w:t>
            </w:r>
          </w:p>
        </w:tc>
      </w:tr>
      <w:tr w:rsidR="00DA608A" w:rsidRPr="00801C5E" w:rsidTr="003849BE">
        <w:trPr>
          <w:cantSplit/>
        </w:trPr>
        <w:tc>
          <w:tcPr>
            <w:tcW w:w="1177"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A608A" w:rsidRPr="00801C5E" w:rsidRDefault="00DA608A" w:rsidP="00D752D6">
            <w:pPr>
              <w:jc w:val="distribute"/>
              <w:rPr>
                <w:rFonts w:eastAsia="標楷體"/>
              </w:rPr>
            </w:pPr>
            <w:r w:rsidRPr="00801C5E">
              <w:rPr>
                <w:rFonts w:eastAsia="標楷體" w:hAnsi="標楷體"/>
              </w:rPr>
              <w:t>負債</w:t>
            </w:r>
          </w:p>
          <w:p w:rsidR="00DA608A" w:rsidRPr="00801C5E" w:rsidRDefault="00DA608A" w:rsidP="00D752D6">
            <w:pPr>
              <w:jc w:val="distribute"/>
              <w:rPr>
                <w:rFonts w:eastAsia="標楷體"/>
              </w:rPr>
            </w:pPr>
            <w:r w:rsidRPr="00801C5E">
              <w:rPr>
                <w:rFonts w:eastAsia="標楷體" w:hAnsi="標楷體"/>
              </w:rPr>
              <w:t>總額</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A608A" w:rsidRPr="00801C5E" w:rsidRDefault="00DA608A" w:rsidP="00C8529C">
            <w:pPr>
              <w:pStyle w:val="ac"/>
              <w:adjustRightInd/>
              <w:snapToGrid/>
              <w:spacing w:line="240" w:lineRule="auto"/>
              <w:jc w:val="center"/>
              <w:textAlignment w:val="auto"/>
              <w:rPr>
                <w:kern w:val="2"/>
                <w:szCs w:val="24"/>
              </w:rPr>
            </w:pPr>
            <w:r w:rsidRPr="00801C5E">
              <w:rPr>
                <w:rFonts w:hAnsi="標楷體"/>
                <w:kern w:val="2"/>
                <w:szCs w:val="24"/>
              </w:rPr>
              <w:t>分</w:t>
            </w:r>
            <w:r w:rsidRPr="00801C5E">
              <w:rPr>
                <w:rFonts w:hAnsi="標楷體" w:hint="eastAsia"/>
                <w:kern w:val="2"/>
                <w:szCs w:val="24"/>
              </w:rPr>
              <w:t xml:space="preserve"> </w:t>
            </w:r>
            <w:r w:rsidRPr="00801C5E">
              <w:rPr>
                <w:rFonts w:hAnsi="標楷體"/>
                <w:kern w:val="2"/>
                <w:szCs w:val="24"/>
              </w:rPr>
              <w:t>配</w:t>
            </w:r>
            <w:r w:rsidRPr="00801C5E">
              <w:rPr>
                <w:rFonts w:hAnsi="標楷體" w:hint="eastAsia"/>
                <w:kern w:val="2"/>
                <w:szCs w:val="24"/>
              </w:rPr>
              <w:t xml:space="preserve"> </w:t>
            </w:r>
            <w:r w:rsidRPr="00801C5E">
              <w:rPr>
                <w:rFonts w:hAnsi="標楷體"/>
                <w:kern w:val="2"/>
                <w:szCs w:val="24"/>
              </w:rPr>
              <w:t>前</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296,393</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357,373</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354,787</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130,567</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DA608A" w:rsidRPr="00DA608A" w:rsidRDefault="00DA608A" w:rsidP="00275226">
            <w:pPr>
              <w:ind w:rightChars="20" w:right="48"/>
              <w:jc w:val="right"/>
            </w:pPr>
            <w:r w:rsidRPr="00DA608A">
              <w:t>181,192</w:t>
            </w:r>
          </w:p>
        </w:tc>
      </w:tr>
      <w:tr w:rsidR="00DA608A" w:rsidRPr="00801C5E" w:rsidTr="00C8529C">
        <w:trPr>
          <w:cantSplit/>
        </w:trPr>
        <w:tc>
          <w:tcPr>
            <w:tcW w:w="117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A608A" w:rsidRPr="00801C5E" w:rsidRDefault="00DA608A" w:rsidP="00D752D6">
            <w:pPr>
              <w:jc w:val="distribute"/>
              <w:rPr>
                <w:rFonts w:eastAsia="標楷體"/>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A608A" w:rsidRPr="00801C5E" w:rsidRDefault="00DA608A" w:rsidP="00C8529C">
            <w:pPr>
              <w:jc w:val="center"/>
              <w:rPr>
                <w:rFonts w:eastAsia="標楷體"/>
              </w:rPr>
            </w:pPr>
            <w:r w:rsidRPr="00801C5E">
              <w:rPr>
                <w:rFonts w:eastAsia="標楷體" w:hAnsi="標楷體"/>
              </w:rPr>
              <w:t>分</w:t>
            </w:r>
            <w:r w:rsidRPr="00801C5E">
              <w:rPr>
                <w:rFonts w:eastAsia="標楷體" w:hAnsi="標楷體" w:hint="eastAsia"/>
              </w:rPr>
              <w:t xml:space="preserve"> </w:t>
            </w:r>
            <w:r w:rsidRPr="00801C5E">
              <w:rPr>
                <w:rFonts w:eastAsia="標楷體" w:hAnsi="標楷體"/>
              </w:rPr>
              <w:t>配</w:t>
            </w:r>
            <w:r w:rsidRPr="00801C5E">
              <w:rPr>
                <w:rFonts w:eastAsia="標楷體" w:hAnsi="標楷體" w:hint="eastAsia"/>
              </w:rPr>
              <w:t xml:space="preserve"> </w:t>
            </w:r>
            <w:r w:rsidRPr="00801C5E">
              <w:rPr>
                <w:rFonts w:eastAsia="標楷體" w:hAnsi="標楷體"/>
              </w:rPr>
              <w:t>後</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Pr>
                <w:rFonts w:hint="eastAsia"/>
              </w:rPr>
              <w:t>329</w:t>
            </w:r>
            <w:r w:rsidRPr="00982DBD">
              <w:t>,</w:t>
            </w:r>
            <w:r>
              <w:rPr>
                <w:rFonts w:hint="eastAsia"/>
              </w:rPr>
              <w:t>58</w:t>
            </w:r>
            <w:r w:rsidRPr="00982DBD">
              <w:t>8</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Pr>
                <w:rFonts w:hint="eastAsia"/>
              </w:rPr>
              <w:t>379</w:t>
            </w:r>
            <w:r w:rsidRPr="00982DBD">
              <w:t>,</w:t>
            </w:r>
            <w:r>
              <w:rPr>
                <w:rFonts w:hint="eastAsia"/>
              </w:rPr>
              <w:t>50</w:t>
            </w:r>
            <w:r w:rsidRPr="00982DBD">
              <w:t>3</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Pr>
                <w:rFonts w:hint="eastAsia"/>
              </w:rPr>
              <w:t>387</w:t>
            </w:r>
            <w:r w:rsidRPr="00982DBD">
              <w:t>,</w:t>
            </w:r>
            <w:r>
              <w:rPr>
                <w:rFonts w:hint="eastAsia"/>
              </w:rPr>
              <w:t>982</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Pr>
                <w:rFonts w:hint="eastAsia"/>
              </w:rPr>
              <w:t>163</w:t>
            </w:r>
            <w:r w:rsidRPr="00982DBD">
              <w:t>,</w:t>
            </w:r>
            <w:r>
              <w:rPr>
                <w:rFonts w:hint="eastAsia"/>
              </w:rPr>
              <w:t>762</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DA608A" w:rsidRPr="00DA608A" w:rsidRDefault="00DA608A" w:rsidP="00275226">
            <w:pPr>
              <w:ind w:rightChars="20" w:right="48"/>
              <w:jc w:val="right"/>
            </w:pPr>
            <w:r w:rsidRPr="00DA608A">
              <w:rPr>
                <w:rFonts w:hint="eastAsia"/>
              </w:rPr>
              <w:t>225</w:t>
            </w:r>
            <w:r w:rsidRPr="00DA608A">
              <w:t>,192</w:t>
            </w:r>
          </w:p>
        </w:tc>
      </w:tr>
      <w:tr w:rsidR="00DA608A" w:rsidRPr="00801C5E" w:rsidTr="00F92973">
        <w:tc>
          <w:tcPr>
            <w:tcW w:w="231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A608A" w:rsidRPr="00801C5E" w:rsidRDefault="00DA608A" w:rsidP="00D752D6">
            <w:pPr>
              <w:jc w:val="distribute"/>
              <w:rPr>
                <w:rFonts w:eastAsia="標楷體"/>
              </w:rPr>
            </w:pPr>
            <w:r w:rsidRPr="00801C5E">
              <w:rPr>
                <w:rFonts w:eastAsia="標楷體" w:hAnsi="標楷體"/>
              </w:rPr>
              <w:t>股本</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221,299</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221,299</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221,299</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221,299</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DA608A" w:rsidRPr="00DA608A" w:rsidRDefault="00DA608A" w:rsidP="00275226">
            <w:pPr>
              <w:ind w:rightChars="20" w:right="48"/>
              <w:jc w:val="right"/>
            </w:pPr>
            <w:r w:rsidRPr="00DA608A">
              <w:t>200,000</w:t>
            </w:r>
          </w:p>
        </w:tc>
      </w:tr>
      <w:tr w:rsidR="00DA608A" w:rsidRPr="00801C5E" w:rsidTr="00F92973">
        <w:tc>
          <w:tcPr>
            <w:tcW w:w="231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A608A" w:rsidRPr="00801C5E" w:rsidRDefault="00DA608A" w:rsidP="00D752D6">
            <w:pPr>
              <w:jc w:val="distribute"/>
              <w:rPr>
                <w:rFonts w:eastAsia="標楷體"/>
              </w:rPr>
            </w:pPr>
            <w:r w:rsidRPr="00801C5E">
              <w:rPr>
                <w:rFonts w:eastAsia="標楷體" w:hAnsi="標楷體"/>
              </w:rPr>
              <w:t>資本公積</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22,617</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22,617</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22,617</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22,617</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DA608A" w:rsidRPr="00DA608A" w:rsidRDefault="00DA608A" w:rsidP="00275226">
            <w:pPr>
              <w:ind w:rightChars="20" w:right="48"/>
              <w:jc w:val="right"/>
            </w:pPr>
            <w:r w:rsidRPr="00DA608A">
              <w:t>76,178</w:t>
            </w:r>
          </w:p>
        </w:tc>
      </w:tr>
      <w:tr w:rsidR="00DA608A" w:rsidRPr="00801C5E" w:rsidTr="00C8529C">
        <w:trPr>
          <w:cantSplit/>
        </w:trPr>
        <w:tc>
          <w:tcPr>
            <w:tcW w:w="1177"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A608A" w:rsidRPr="00801C5E" w:rsidRDefault="00DA608A" w:rsidP="00D752D6">
            <w:pPr>
              <w:jc w:val="distribute"/>
              <w:rPr>
                <w:rFonts w:eastAsia="標楷體"/>
              </w:rPr>
            </w:pPr>
            <w:r w:rsidRPr="00801C5E">
              <w:rPr>
                <w:rFonts w:eastAsia="標楷體" w:hAnsi="標楷體"/>
              </w:rPr>
              <w:t>保留</w:t>
            </w:r>
          </w:p>
          <w:p w:rsidR="00DA608A" w:rsidRPr="00801C5E" w:rsidRDefault="00DA608A" w:rsidP="00D752D6">
            <w:pPr>
              <w:jc w:val="distribute"/>
              <w:rPr>
                <w:rFonts w:eastAsia="標楷體"/>
              </w:rPr>
            </w:pPr>
            <w:r w:rsidRPr="00801C5E">
              <w:rPr>
                <w:rFonts w:eastAsia="標楷體" w:hAnsi="標楷體"/>
              </w:rPr>
              <w:t>盈餘</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A608A" w:rsidRPr="00801C5E" w:rsidRDefault="00DA608A" w:rsidP="00C8529C">
            <w:pPr>
              <w:pStyle w:val="ac"/>
              <w:adjustRightInd/>
              <w:snapToGrid/>
              <w:spacing w:line="240" w:lineRule="auto"/>
              <w:jc w:val="center"/>
              <w:textAlignment w:val="auto"/>
              <w:rPr>
                <w:kern w:val="2"/>
                <w:szCs w:val="24"/>
              </w:rPr>
            </w:pPr>
            <w:r w:rsidRPr="00801C5E">
              <w:rPr>
                <w:rFonts w:hAnsi="標楷體"/>
                <w:kern w:val="2"/>
                <w:szCs w:val="24"/>
              </w:rPr>
              <w:t>分</w:t>
            </w:r>
            <w:r w:rsidRPr="00801C5E">
              <w:rPr>
                <w:rFonts w:hAnsi="標楷體" w:hint="eastAsia"/>
                <w:kern w:val="2"/>
                <w:szCs w:val="24"/>
              </w:rPr>
              <w:t xml:space="preserve"> </w:t>
            </w:r>
            <w:r w:rsidRPr="00801C5E">
              <w:rPr>
                <w:rFonts w:hAnsi="標楷體"/>
                <w:kern w:val="2"/>
                <w:szCs w:val="24"/>
              </w:rPr>
              <w:t>配</w:t>
            </w:r>
            <w:r w:rsidRPr="00801C5E">
              <w:rPr>
                <w:rFonts w:hAnsi="標楷體" w:hint="eastAsia"/>
                <w:kern w:val="2"/>
                <w:szCs w:val="24"/>
              </w:rPr>
              <w:t xml:space="preserve"> </w:t>
            </w:r>
            <w:r w:rsidRPr="00801C5E">
              <w:rPr>
                <w:rFonts w:hAnsi="標楷體"/>
                <w:kern w:val="2"/>
                <w:szCs w:val="24"/>
              </w:rPr>
              <w:t>前</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66,412</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86,479</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103,070</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134,831</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DA608A" w:rsidRPr="00DA608A" w:rsidRDefault="00DA608A" w:rsidP="00275226">
            <w:pPr>
              <w:ind w:rightChars="20" w:right="48"/>
              <w:jc w:val="right"/>
            </w:pPr>
            <w:r w:rsidRPr="00DA608A">
              <w:t>163,706</w:t>
            </w:r>
          </w:p>
        </w:tc>
      </w:tr>
      <w:tr w:rsidR="00DA608A" w:rsidRPr="00801C5E" w:rsidTr="00C8529C">
        <w:trPr>
          <w:cantSplit/>
        </w:trPr>
        <w:tc>
          <w:tcPr>
            <w:tcW w:w="117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A608A" w:rsidRPr="00801C5E" w:rsidRDefault="00DA608A" w:rsidP="00D752D6">
            <w:pPr>
              <w:jc w:val="distribute"/>
              <w:rPr>
                <w:rFonts w:eastAsia="標楷體"/>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A608A" w:rsidRPr="00801C5E" w:rsidRDefault="00DA608A" w:rsidP="00C8529C">
            <w:pPr>
              <w:jc w:val="center"/>
              <w:rPr>
                <w:rFonts w:eastAsia="標楷體"/>
              </w:rPr>
            </w:pPr>
            <w:r w:rsidRPr="00801C5E">
              <w:rPr>
                <w:rFonts w:eastAsia="標楷體" w:hAnsi="標楷體"/>
              </w:rPr>
              <w:t>分</w:t>
            </w:r>
            <w:r w:rsidRPr="00801C5E">
              <w:rPr>
                <w:rFonts w:eastAsia="標楷體" w:hAnsi="標楷體" w:hint="eastAsia"/>
              </w:rPr>
              <w:t xml:space="preserve"> </w:t>
            </w:r>
            <w:r w:rsidRPr="00801C5E">
              <w:rPr>
                <w:rFonts w:eastAsia="標楷體" w:hAnsi="標楷體"/>
              </w:rPr>
              <w:t>配</w:t>
            </w:r>
            <w:r w:rsidRPr="00801C5E">
              <w:rPr>
                <w:rFonts w:eastAsia="標楷體" w:hAnsi="標楷體" w:hint="eastAsia"/>
              </w:rPr>
              <w:t xml:space="preserve"> </w:t>
            </w:r>
            <w:r w:rsidRPr="00801C5E">
              <w:rPr>
                <w:rFonts w:eastAsia="標楷體" w:hAnsi="標楷體"/>
              </w:rPr>
              <w:t>後</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33,217</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64,349</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69,875</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101,636</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DA608A" w:rsidRPr="00DA608A" w:rsidRDefault="00DA608A" w:rsidP="00275226">
            <w:pPr>
              <w:ind w:rightChars="20" w:right="48"/>
              <w:jc w:val="right"/>
            </w:pPr>
            <w:r w:rsidRPr="00DA608A">
              <w:t>119,706</w:t>
            </w:r>
          </w:p>
        </w:tc>
      </w:tr>
      <w:tr w:rsidR="00DA608A" w:rsidRPr="00801C5E" w:rsidTr="00F92973">
        <w:trPr>
          <w:cantSplit/>
        </w:trPr>
        <w:tc>
          <w:tcPr>
            <w:tcW w:w="231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A608A" w:rsidRPr="00801C5E" w:rsidRDefault="00DA608A" w:rsidP="00F92973">
            <w:pPr>
              <w:jc w:val="distribute"/>
              <w:rPr>
                <w:rFonts w:eastAsia="標楷體" w:hAnsi="標楷體"/>
              </w:rPr>
            </w:pPr>
            <w:r w:rsidRPr="00F92973">
              <w:rPr>
                <w:rFonts w:eastAsia="標楷體" w:hAnsi="標楷體" w:hint="eastAsia"/>
              </w:rPr>
              <w:t>金融商品未實現損益</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EE57BF" w:rsidRDefault="00DA608A" w:rsidP="00275226">
            <w:pPr>
              <w:ind w:rightChars="-3" w:right="-7"/>
              <w:jc w:val="right"/>
            </w:pPr>
            <w:r w:rsidRPr="00EE57BF">
              <w:t>873</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EE57BF" w:rsidRDefault="00DA608A" w:rsidP="00275226">
            <w:pPr>
              <w:ind w:rightChars="-3" w:right="-7"/>
              <w:jc w:val="right"/>
            </w:pPr>
            <w:r w:rsidRPr="00EE57BF">
              <w:t>(125)</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EE57BF" w:rsidRDefault="00DA608A" w:rsidP="00275226">
            <w:pPr>
              <w:ind w:rightChars="-3" w:right="-7"/>
              <w:jc w:val="right"/>
            </w:pPr>
            <w:r w:rsidRPr="00EE57BF">
              <w:t>1,671</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EE57BF" w:rsidRDefault="00DA608A" w:rsidP="00275226">
            <w:pPr>
              <w:ind w:rightChars="-3" w:right="-7"/>
              <w:jc w:val="right"/>
            </w:pPr>
            <w:r w:rsidRPr="00EE57BF">
              <w:t>67</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DA608A" w:rsidRPr="00DA608A" w:rsidRDefault="00DA608A" w:rsidP="00275226">
            <w:pPr>
              <w:ind w:rightChars="20" w:right="48"/>
              <w:jc w:val="right"/>
            </w:pPr>
            <w:r w:rsidRPr="00DA608A">
              <w:t>375</w:t>
            </w:r>
          </w:p>
        </w:tc>
      </w:tr>
      <w:tr w:rsidR="00DA608A" w:rsidRPr="00801C5E" w:rsidTr="00F92973">
        <w:trPr>
          <w:cantSplit/>
        </w:trPr>
        <w:tc>
          <w:tcPr>
            <w:tcW w:w="231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A608A" w:rsidRPr="00801C5E" w:rsidRDefault="00DA608A" w:rsidP="00F92973">
            <w:pPr>
              <w:jc w:val="distribute"/>
              <w:rPr>
                <w:rFonts w:eastAsia="標楷體" w:hAnsi="標楷體"/>
              </w:rPr>
            </w:pPr>
            <w:r w:rsidRPr="00F92973">
              <w:rPr>
                <w:rFonts w:eastAsia="標楷體" w:hAnsi="標楷體" w:hint="eastAsia"/>
              </w:rPr>
              <w:t>累積換算調整數</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EE57BF" w:rsidRDefault="00DA608A" w:rsidP="00275226">
            <w:pPr>
              <w:ind w:rightChars="-3" w:right="-7"/>
              <w:jc w:val="right"/>
            </w:pPr>
            <w:r w:rsidRPr="00EE57BF">
              <w:t>6,747</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EE57BF" w:rsidRDefault="00DA608A" w:rsidP="00275226">
            <w:pPr>
              <w:ind w:rightChars="-3" w:right="-7"/>
              <w:jc w:val="right"/>
            </w:pPr>
            <w:r w:rsidRPr="00EE57BF">
              <w:t>18,028</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EE57BF" w:rsidRDefault="00DA608A" w:rsidP="00275226">
            <w:pPr>
              <w:ind w:rightChars="-3" w:right="-7"/>
              <w:jc w:val="right"/>
            </w:pPr>
            <w:r w:rsidRPr="00EE57BF">
              <w:t>11,852</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EE57BF" w:rsidRDefault="00DA608A" w:rsidP="00275226">
            <w:pPr>
              <w:ind w:rightChars="-3" w:right="-7"/>
              <w:jc w:val="right"/>
            </w:pPr>
            <w:r w:rsidRPr="00EE57BF">
              <w:t>21,361</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DA608A" w:rsidRPr="00DA608A" w:rsidRDefault="00DA608A" w:rsidP="00275226">
            <w:pPr>
              <w:ind w:rightChars="20" w:right="48"/>
              <w:jc w:val="right"/>
            </w:pPr>
            <w:r w:rsidRPr="00DA608A">
              <w:t>31,610</w:t>
            </w:r>
          </w:p>
        </w:tc>
      </w:tr>
      <w:tr w:rsidR="00C8529C" w:rsidRPr="00801C5E" w:rsidTr="00D21862">
        <w:tc>
          <w:tcPr>
            <w:tcW w:w="231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C8529C" w:rsidRPr="00801C5E" w:rsidRDefault="00C8529C" w:rsidP="00801C5E">
            <w:pPr>
              <w:jc w:val="distribute"/>
              <w:rPr>
                <w:rFonts w:eastAsia="標楷體"/>
              </w:rPr>
            </w:pPr>
            <w:r w:rsidRPr="00F92973">
              <w:rPr>
                <w:rFonts w:eastAsia="標楷體" w:hAnsi="標楷體" w:hint="eastAsia"/>
              </w:rPr>
              <w:t>共同控制下後手權益</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C8529C" w:rsidRPr="00EE57BF" w:rsidRDefault="00C8529C" w:rsidP="00275226">
            <w:pPr>
              <w:ind w:rightChars="-3" w:right="-7"/>
              <w:jc w:val="right"/>
            </w:pPr>
            <w:proofErr w:type="gramStart"/>
            <w:r w:rsidRPr="00EE57BF">
              <w:rPr>
                <w:rFonts w:hint="eastAsia"/>
              </w:rPr>
              <w:t>─</w:t>
            </w:r>
            <w:proofErr w:type="gramEnd"/>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C8529C" w:rsidRPr="00EE57BF" w:rsidRDefault="00DC2B94" w:rsidP="00275226">
            <w:pPr>
              <w:ind w:rightChars="-3" w:right="-7"/>
              <w:jc w:val="right"/>
            </w:pPr>
            <w:proofErr w:type="gramStart"/>
            <w:r w:rsidRPr="00EE57BF">
              <w:rPr>
                <w:rFonts w:hint="eastAsia"/>
              </w:rPr>
              <w:t>─</w:t>
            </w:r>
            <w:proofErr w:type="gramEnd"/>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C8529C" w:rsidRPr="00EE57BF" w:rsidRDefault="00C8529C" w:rsidP="00275226">
            <w:pPr>
              <w:ind w:rightChars="-3" w:right="-7"/>
              <w:jc w:val="right"/>
            </w:pPr>
            <w:proofErr w:type="gramStart"/>
            <w:r w:rsidRPr="00EE57BF">
              <w:rPr>
                <w:rFonts w:hint="eastAsia"/>
              </w:rPr>
              <w:t>─</w:t>
            </w:r>
            <w:proofErr w:type="gramEnd"/>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C8529C" w:rsidRPr="00EE57BF" w:rsidRDefault="00C8529C" w:rsidP="00275226">
            <w:pPr>
              <w:ind w:rightChars="-3" w:right="-7"/>
              <w:jc w:val="right"/>
            </w:pPr>
            <w:r w:rsidRPr="00EE57BF">
              <w:t>(78,979)</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C8529C" w:rsidRPr="00DA608A" w:rsidRDefault="00DC2B94" w:rsidP="00801C5E">
            <w:pPr>
              <w:ind w:rightChars="-3" w:right="-7"/>
              <w:jc w:val="right"/>
              <w:rPr>
                <w:rFonts w:eastAsia="標楷體"/>
                <w:color w:val="000000"/>
              </w:rPr>
            </w:pPr>
            <w:proofErr w:type="gramStart"/>
            <w:r w:rsidRPr="00EE57BF">
              <w:rPr>
                <w:rFonts w:hint="eastAsia"/>
              </w:rPr>
              <w:t>─</w:t>
            </w:r>
            <w:proofErr w:type="gramEnd"/>
          </w:p>
        </w:tc>
      </w:tr>
      <w:tr w:rsidR="00DC2B94" w:rsidRPr="00801C5E" w:rsidTr="00D21862">
        <w:tc>
          <w:tcPr>
            <w:tcW w:w="2311"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DC2B94" w:rsidRPr="00F92973" w:rsidRDefault="00DC2B94" w:rsidP="00DC2B94">
            <w:pPr>
              <w:jc w:val="distribute"/>
              <w:rPr>
                <w:rFonts w:eastAsia="標楷體" w:hAnsi="標楷體"/>
              </w:rPr>
            </w:pPr>
            <w:r>
              <w:rPr>
                <w:rFonts w:eastAsia="標楷體" w:hAnsi="標楷體" w:hint="eastAsia"/>
              </w:rPr>
              <w:t>少數股權</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C2B94" w:rsidRPr="00EE57BF" w:rsidRDefault="00DC2B94" w:rsidP="00275226">
            <w:pPr>
              <w:ind w:rightChars="-3" w:right="-7"/>
              <w:jc w:val="right"/>
            </w:pPr>
            <w:proofErr w:type="gramStart"/>
            <w:r w:rsidRPr="00EE57BF">
              <w:rPr>
                <w:rFonts w:hint="eastAsia"/>
              </w:rPr>
              <w:t>─</w:t>
            </w:r>
            <w:proofErr w:type="gramEnd"/>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C2B94" w:rsidRPr="00EE57BF" w:rsidRDefault="00DC2B94" w:rsidP="00275226">
            <w:pPr>
              <w:ind w:rightChars="-3" w:right="-7"/>
              <w:jc w:val="right"/>
            </w:pPr>
            <w:proofErr w:type="gramStart"/>
            <w:r w:rsidRPr="00EE57BF">
              <w:rPr>
                <w:rFonts w:hint="eastAsia"/>
              </w:rPr>
              <w:t>─</w:t>
            </w:r>
            <w:proofErr w:type="gramEnd"/>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C2B94" w:rsidRPr="00EE57BF" w:rsidRDefault="00DC2B94" w:rsidP="00275226">
            <w:pPr>
              <w:ind w:rightChars="-3" w:right="-7"/>
              <w:jc w:val="right"/>
            </w:pPr>
            <w:proofErr w:type="gramStart"/>
            <w:r w:rsidRPr="00EE57BF">
              <w:rPr>
                <w:rFonts w:hint="eastAsia"/>
              </w:rPr>
              <w:t>─</w:t>
            </w:r>
            <w:proofErr w:type="gramEnd"/>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C2B94" w:rsidRPr="00EE57BF" w:rsidRDefault="00DC2B94" w:rsidP="00275226">
            <w:pPr>
              <w:ind w:rightChars="-3" w:right="-7"/>
              <w:jc w:val="right"/>
            </w:pPr>
            <w:proofErr w:type="gramStart"/>
            <w:r w:rsidRPr="00EE57BF">
              <w:rPr>
                <w:rFonts w:hint="eastAsia"/>
              </w:rPr>
              <w:t>─</w:t>
            </w:r>
            <w:proofErr w:type="gramEnd"/>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DC2B94" w:rsidRPr="00DA608A" w:rsidRDefault="00DC2B94" w:rsidP="00801C5E">
            <w:pPr>
              <w:ind w:rightChars="-3" w:right="-7"/>
              <w:jc w:val="right"/>
              <w:rPr>
                <w:rFonts w:eastAsia="標楷體"/>
                <w:color w:val="000000"/>
              </w:rPr>
            </w:pPr>
            <w:r>
              <w:rPr>
                <w:rFonts w:eastAsia="標楷體" w:hint="eastAsia"/>
                <w:color w:val="000000"/>
              </w:rPr>
              <w:t>2,391</w:t>
            </w:r>
          </w:p>
        </w:tc>
      </w:tr>
      <w:tr w:rsidR="00DA608A" w:rsidRPr="00801C5E" w:rsidTr="00C8529C">
        <w:trPr>
          <w:cantSplit/>
        </w:trPr>
        <w:tc>
          <w:tcPr>
            <w:tcW w:w="1177"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A608A" w:rsidRPr="00801C5E" w:rsidRDefault="00DA608A" w:rsidP="00D752D6">
            <w:pPr>
              <w:jc w:val="distribute"/>
              <w:rPr>
                <w:rFonts w:eastAsia="標楷體"/>
              </w:rPr>
            </w:pPr>
            <w:r w:rsidRPr="00DA608A">
              <w:rPr>
                <w:rFonts w:eastAsia="標楷體" w:hAnsi="標楷體" w:hint="eastAsia"/>
              </w:rPr>
              <w:t>股東權益總額</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A608A" w:rsidRPr="00801C5E" w:rsidRDefault="00DA608A" w:rsidP="00C8529C">
            <w:pPr>
              <w:pStyle w:val="ac"/>
              <w:adjustRightInd/>
              <w:snapToGrid/>
              <w:spacing w:line="240" w:lineRule="auto"/>
              <w:jc w:val="center"/>
              <w:textAlignment w:val="auto"/>
              <w:rPr>
                <w:kern w:val="2"/>
                <w:szCs w:val="24"/>
              </w:rPr>
            </w:pPr>
            <w:r w:rsidRPr="00801C5E">
              <w:rPr>
                <w:rFonts w:hAnsi="標楷體"/>
                <w:kern w:val="2"/>
                <w:szCs w:val="24"/>
              </w:rPr>
              <w:t>分</w:t>
            </w:r>
            <w:r w:rsidRPr="00801C5E">
              <w:rPr>
                <w:rFonts w:hAnsi="標楷體" w:hint="eastAsia"/>
                <w:kern w:val="2"/>
                <w:szCs w:val="24"/>
              </w:rPr>
              <w:t xml:space="preserve"> </w:t>
            </w:r>
            <w:r w:rsidRPr="00801C5E">
              <w:rPr>
                <w:rFonts w:hAnsi="標楷體"/>
                <w:kern w:val="2"/>
                <w:szCs w:val="24"/>
              </w:rPr>
              <w:t>配</w:t>
            </w:r>
            <w:r w:rsidRPr="00801C5E">
              <w:rPr>
                <w:rFonts w:hAnsi="標楷體" w:hint="eastAsia"/>
                <w:kern w:val="2"/>
                <w:szCs w:val="24"/>
              </w:rPr>
              <w:t xml:space="preserve"> </w:t>
            </w:r>
            <w:r w:rsidRPr="00801C5E">
              <w:rPr>
                <w:rFonts w:hAnsi="標楷體"/>
                <w:kern w:val="2"/>
                <w:szCs w:val="24"/>
              </w:rPr>
              <w:t>前</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317,948</w:t>
            </w:r>
          </w:p>
        </w:tc>
        <w:tc>
          <w:tcPr>
            <w:tcW w:w="1736"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348,298</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360,509</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DA608A" w:rsidRPr="00982DBD" w:rsidRDefault="00DA608A" w:rsidP="00275226">
            <w:pPr>
              <w:ind w:rightChars="-3" w:right="-7"/>
              <w:jc w:val="right"/>
            </w:pPr>
            <w:r w:rsidRPr="00982DBD">
              <w:t>321,196</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DA608A" w:rsidRPr="001909AD" w:rsidRDefault="00DA608A" w:rsidP="00275226">
            <w:pPr>
              <w:ind w:rightChars="20" w:right="48"/>
              <w:jc w:val="right"/>
            </w:pPr>
            <w:r w:rsidRPr="001909AD">
              <w:t>474,260</w:t>
            </w:r>
          </w:p>
        </w:tc>
      </w:tr>
      <w:tr w:rsidR="00DA608A" w:rsidRPr="00801C5E" w:rsidTr="00C8529C">
        <w:trPr>
          <w:cantSplit/>
        </w:trPr>
        <w:tc>
          <w:tcPr>
            <w:tcW w:w="1177"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DA608A" w:rsidRPr="00801C5E" w:rsidRDefault="00DA608A" w:rsidP="00D752D6">
            <w:pPr>
              <w:jc w:val="distribute"/>
              <w:rPr>
                <w:rFonts w:eastAsia="標楷體"/>
              </w:rPr>
            </w:pPr>
          </w:p>
        </w:tc>
        <w:tc>
          <w:tcPr>
            <w:tcW w:w="1134" w:type="dxa"/>
            <w:tcBorders>
              <w:top w:val="single" w:sz="6" w:space="0" w:color="auto"/>
              <w:left w:val="single" w:sz="6" w:space="0" w:color="auto"/>
              <w:bottom w:val="single" w:sz="12" w:space="0" w:color="auto"/>
              <w:right w:val="single" w:sz="6" w:space="0" w:color="auto"/>
            </w:tcBorders>
            <w:shd w:val="clear" w:color="auto" w:fill="auto"/>
          </w:tcPr>
          <w:p w:rsidR="00DA608A" w:rsidRPr="00801C5E" w:rsidRDefault="00DA608A" w:rsidP="00C8529C">
            <w:pPr>
              <w:jc w:val="center"/>
              <w:rPr>
                <w:rFonts w:eastAsia="標楷體"/>
              </w:rPr>
            </w:pPr>
            <w:r w:rsidRPr="00801C5E">
              <w:rPr>
                <w:rFonts w:eastAsia="標楷體" w:hAnsi="標楷體"/>
              </w:rPr>
              <w:t>分</w:t>
            </w:r>
            <w:r w:rsidRPr="00801C5E">
              <w:rPr>
                <w:rFonts w:eastAsia="標楷體" w:hAnsi="標楷體" w:hint="eastAsia"/>
              </w:rPr>
              <w:t xml:space="preserve"> </w:t>
            </w:r>
            <w:r w:rsidRPr="00801C5E">
              <w:rPr>
                <w:rFonts w:eastAsia="標楷體" w:hAnsi="標楷體"/>
              </w:rPr>
              <w:t>配</w:t>
            </w:r>
            <w:r w:rsidRPr="00801C5E">
              <w:rPr>
                <w:rFonts w:eastAsia="標楷體" w:hAnsi="標楷體" w:hint="eastAsia"/>
              </w:rPr>
              <w:t xml:space="preserve"> </w:t>
            </w:r>
            <w:r w:rsidRPr="00801C5E">
              <w:rPr>
                <w:rFonts w:eastAsia="標楷體" w:hAnsi="標楷體"/>
              </w:rPr>
              <w:t>後</w:t>
            </w:r>
          </w:p>
        </w:tc>
        <w:tc>
          <w:tcPr>
            <w:tcW w:w="1455" w:type="dxa"/>
            <w:tcBorders>
              <w:top w:val="single" w:sz="6" w:space="0" w:color="auto"/>
              <w:left w:val="single" w:sz="6" w:space="0" w:color="auto"/>
              <w:bottom w:val="single" w:sz="12" w:space="0" w:color="auto"/>
              <w:right w:val="single" w:sz="6" w:space="0" w:color="auto"/>
            </w:tcBorders>
            <w:shd w:val="clear" w:color="auto" w:fill="auto"/>
            <w:vAlign w:val="center"/>
          </w:tcPr>
          <w:p w:rsidR="00DA608A" w:rsidRPr="00982DBD" w:rsidRDefault="00DA608A" w:rsidP="00275226">
            <w:pPr>
              <w:ind w:rightChars="-3" w:right="-7"/>
              <w:jc w:val="right"/>
            </w:pPr>
            <w:r w:rsidRPr="00982DBD">
              <w:t>284,753</w:t>
            </w:r>
          </w:p>
        </w:tc>
        <w:tc>
          <w:tcPr>
            <w:tcW w:w="1736" w:type="dxa"/>
            <w:tcBorders>
              <w:top w:val="single" w:sz="6" w:space="0" w:color="auto"/>
              <w:left w:val="single" w:sz="6" w:space="0" w:color="auto"/>
              <w:bottom w:val="single" w:sz="12" w:space="0" w:color="auto"/>
              <w:right w:val="single" w:sz="6" w:space="0" w:color="auto"/>
            </w:tcBorders>
            <w:shd w:val="clear" w:color="auto" w:fill="auto"/>
            <w:vAlign w:val="center"/>
          </w:tcPr>
          <w:p w:rsidR="00DA608A" w:rsidRPr="00982DBD" w:rsidRDefault="00DA608A" w:rsidP="00275226">
            <w:pPr>
              <w:ind w:rightChars="-3" w:right="-7"/>
              <w:jc w:val="right"/>
            </w:pPr>
            <w:r w:rsidRPr="00982DBD">
              <w:t>326,168</w:t>
            </w:r>
          </w:p>
        </w:tc>
        <w:tc>
          <w:tcPr>
            <w:tcW w:w="1665" w:type="dxa"/>
            <w:tcBorders>
              <w:top w:val="single" w:sz="6" w:space="0" w:color="auto"/>
              <w:left w:val="single" w:sz="6" w:space="0" w:color="auto"/>
              <w:bottom w:val="single" w:sz="12" w:space="0" w:color="auto"/>
              <w:right w:val="single" w:sz="6" w:space="0" w:color="auto"/>
            </w:tcBorders>
            <w:shd w:val="clear" w:color="auto" w:fill="auto"/>
            <w:vAlign w:val="center"/>
          </w:tcPr>
          <w:p w:rsidR="00DA608A" w:rsidRPr="00982DBD" w:rsidRDefault="00DA608A" w:rsidP="00275226">
            <w:pPr>
              <w:ind w:rightChars="-3" w:right="-7"/>
              <w:jc w:val="right"/>
            </w:pPr>
            <w:r w:rsidRPr="00982DBD">
              <w:t>327,314</w:t>
            </w:r>
          </w:p>
        </w:tc>
        <w:tc>
          <w:tcPr>
            <w:tcW w:w="1610" w:type="dxa"/>
            <w:tcBorders>
              <w:top w:val="single" w:sz="6" w:space="0" w:color="auto"/>
              <w:left w:val="single" w:sz="6" w:space="0" w:color="auto"/>
              <w:bottom w:val="single" w:sz="12" w:space="0" w:color="auto"/>
              <w:right w:val="single" w:sz="6" w:space="0" w:color="auto"/>
            </w:tcBorders>
            <w:shd w:val="clear" w:color="auto" w:fill="auto"/>
            <w:vAlign w:val="center"/>
          </w:tcPr>
          <w:p w:rsidR="00DA608A" w:rsidRPr="00982DBD" w:rsidRDefault="00DA608A" w:rsidP="00275226">
            <w:pPr>
              <w:ind w:rightChars="-3" w:right="-7"/>
              <w:jc w:val="right"/>
            </w:pPr>
            <w:r w:rsidRPr="00982DBD">
              <w:t>288,001</w:t>
            </w:r>
          </w:p>
        </w:tc>
        <w:tc>
          <w:tcPr>
            <w:tcW w:w="1691" w:type="dxa"/>
            <w:tcBorders>
              <w:top w:val="single" w:sz="6" w:space="0" w:color="auto"/>
              <w:left w:val="single" w:sz="4" w:space="0" w:color="auto"/>
              <w:bottom w:val="single" w:sz="12" w:space="0" w:color="auto"/>
              <w:right w:val="single" w:sz="12" w:space="0" w:color="auto"/>
            </w:tcBorders>
            <w:shd w:val="clear" w:color="auto" w:fill="auto"/>
            <w:vAlign w:val="center"/>
          </w:tcPr>
          <w:p w:rsidR="00DA608A" w:rsidRPr="001909AD" w:rsidRDefault="00DA608A" w:rsidP="00275226">
            <w:pPr>
              <w:ind w:rightChars="20" w:right="48"/>
              <w:jc w:val="right"/>
            </w:pPr>
            <w:r w:rsidRPr="001909AD">
              <w:t>430,260</w:t>
            </w:r>
          </w:p>
        </w:tc>
      </w:tr>
    </w:tbl>
    <w:p w:rsidR="00062EAC" w:rsidRPr="001A2ED5" w:rsidRDefault="00062EAC" w:rsidP="00062EAC">
      <w:pPr>
        <w:pStyle w:val="Web"/>
        <w:widowControl w:val="0"/>
        <w:spacing w:before="0" w:beforeAutospacing="0" w:after="0" w:afterAutospacing="0"/>
        <w:ind w:leftChars="-177" w:left="175" w:rightChars="-177" w:right="-425" w:hangingChars="250" w:hanging="600"/>
        <w:jc w:val="both"/>
        <w:rPr>
          <w:rFonts w:ascii="Times New Roman" w:eastAsia="標楷體" w:hAnsi="Times New Roman" w:cs="Times New Roman"/>
        </w:rPr>
      </w:pPr>
      <w:proofErr w:type="gramStart"/>
      <w:r w:rsidRPr="001A2ED5">
        <w:rPr>
          <w:rFonts w:ascii="Times New Roman" w:eastAsia="標楷體" w:hAnsi="Times New Roman" w:cs="Times New Roman" w:hint="eastAsia"/>
        </w:rPr>
        <w:t>註</w:t>
      </w:r>
      <w:proofErr w:type="gramEnd"/>
      <w:r w:rsidRPr="001A2ED5">
        <w:rPr>
          <w:rFonts w:ascii="Times New Roman" w:eastAsia="標楷體" w:hAnsi="Times New Roman" w:cs="Times New Roman"/>
        </w:rPr>
        <w:t>1</w:t>
      </w:r>
      <w:r w:rsidRPr="001A2ED5">
        <w:rPr>
          <w:rFonts w:ascii="Times New Roman" w:eastAsia="標楷體" w:hAnsi="Times New Roman" w:cs="Times New Roman" w:hint="eastAsia"/>
        </w:rPr>
        <w:t>：</w:t>
      </w:r>
      <w:r w:rsidRPr="001A2ED5">
        <w:rPr>
          <w:rFonts w:ascii="Times New Roman" w:eastAsia="標楷體" w:hAnsi="Times New Roman" w:cs="Times New Roman" w:hint="eastAsia"/>
        </w:rPr>
        <w:t>99</w:t>
      </w:r>
      <w:r w:rsidRPr="001A2ED5">
        <w:rPr>
          <w:rFonts w:ascii="Times New Roman" w:eastAsia="標楷體" w:hAnsi="Times New Roman" w:cs="Times New Roman"/>
        </w:rPr>
        <w:t>~</w:t>
      </w:r>
      <w:proofErr w:type="gramStart"/>
      <w:r w:rsidRPr="001A2ED5">
        <w:rPr>
          <w:rFonts w:ascii="Times New Roman" w:eastAsia="標楷體" w:hAnsi="Times New Roman" w:cs="Times New Roman"/>
        </w:rPr>
        <w:t>10</w:t>
      </w:r>
      <w:r w:rsidRPr="001A2ED5">
        <w:rPr>
          <w:rFonts w:ascii="Times New Roman" w:eastAsia="標楷體" w:hAnsi="Times New Roman" w:cs="Times New Roman" w:hint="eastAsia"/>
        </w:rPr>
        <w:t>1</w:t>
      </w:r>
      <w:proofErr w:type="gramEnd"/>
      <w:r w:rsidRPr="001A2ED5">
        <w:rPr>
          <w:rFonts w:ascii="Times New Roman" w:eastAsia="標楷體" w:hAnsi="Times New Roman" w:cs="Times New Roman" w:hint="eastAsia"/>
        </w:rPr>
        <w:t>年度資料係依據「商業會計法」而非「證券發行人財務報告編製準則」編製之</w:t>
      </w:r>
      <w:r w:rsidR="00BE4AC8">
        <w:rPr>
          <w:rFonts w:ascii="Times New Roman" w:eastAsia="標楷體" w:hAnsi="Times New Roman" w:cs="Times New Roman" w:hint="eastAsia"/>
        </w:rPr>
        <w:t>個體</w:t>
      </w:r>
      <w:r w:rsidRPr="001A2ED5">
        <w:rPr>
          <w:rFonts w:ascii="Times New Roman" w:eastAsia="標楷體" w:hAnsi="Times New Roman" w:cs="Times New Roman" w:hint="eastAsia"/>
        </w:rPr>
        <w:t>財務報告。</w:t>
      </w:r>
    </w:p>
    <w:p w:rsidR="00062EAC" w:rsidRDefault="00062EAC" w:rsidP="00062EAC">
      <w:pPr>
        <w:pStyle w:val="Web"/>
        <w:widowControl w:val="0"/>
        <w:spacing w:before="0" w:beforeAutospacing="0" w:after="0" w:afterAutospacing="0"/>
        <w:ind w:leftChars="-177" w:left="175" w:rightChars="-177" w:right="-425" w:hangingChars="250" w:hanging="600"/>
        <w:jc w:val="both"/>
        <w:rPr>
          <w:rFonts w:ascii="Times New Roman" w:eastAsia="標楷體" w:hAnsi="Times New Roman" w:cs="Times New Roman"/>
        </w:rPr>
      </w:pPr>
      <w:proofErr w:type="gramStart"/>
      <w:r w:rsidRPr="001A2ED5">
        <w:rPr>
          <w:rFonts w:ascii="Times New Roman" w:eastAsia="標楷體" w:hAnsi="Times New Roman" w:cs="Times New Roman" w:hint="eastAsia"/>
        </w:rPr>
        <w:t>註</w:t>
      </w:r>
      <w:proofErr w:type="gramEnd"/>
      <w:r w:rsidRPr="001A2ED5">
        <w:rPr>
          <w:rFonts w:ascii="Times New Roman" w:eastAsia="標楷體" w:hAnsi="Times New Roman" w:cs="Times New Roman"/>
        </w:rPr>
        <w:t>2</w:t>
      </w:r>
      <w:r w:rsidRPr="001A2ED5">
        <w:rPr>
          <w:rFonts w:ascii="Times New Roman" w:eastAsia="標楷體" w:hAnsi="Times New Roman" w:cs="Times New Roman" w:hint="eastAsia"/>
        </w:rPr>
        <w:t>：</w:t>
      </w:r>
      <w:proofErr w:type="gramStart"/>
      <w:r w:rsidRPr="001A2ED5">
        <w:rPr>
          <w:rFonts w:ascii="Times New Roman" w:eastAsia="標楷體" w:hAnsi="Times New Roman" w:cs="Times New Roman"/>
        </w:rPr>
        <w:t>10</w:t>
      </w:r>
      <w:r>
        <w:rPr>
          <w:rFonts w:ascii="Times New Roman" w:eastAsia="標楷體" w:hAnsi="Times New Roman" w:cs="Times New Roman" w:hint="eastAsia"/>
        </w:rPr>
        <w:t>2</w:t>
      </w:r>
      <w:proofErr w:type="gramEnd"/>
      <w:r w:rsidRPr="001A2ED5">
        <w:rPr>
          <w:rFonts w:ascii="Times New Roman" w:eastAsia="標楷體" w:hAnsi="Times New Roman" w:cs="Times New Roman" w:hint="eastAsia"/>
        </w:rPr>
        <w:t>年度資料係依「商業會計法」編製之</w:t>
      </w:r>
      <w:r>
        <w:rPr>
          <w:rFonts w:ascii="Times New Roman" w:eastAsia="標楷體" w:hAnsi="Times New Roman" w:cs="Times New Roman" w:hint="eastAsia"/>
        </w:rPr>
        <w:t>個體</w:t>
      </w:r>
      <w:r w:rsidRPr="001A2ED5">
        <w:rPr>
          <w:rFonts w:ascii="Times New Roman" w:eastAsia="標楷體" w:hAnsi="Times New Roman" w:cs="Times New Roman" w:hint="eastAsia"/>
        </w:rPr>
        <w:t>財務資訊且</w:t>
      </w:r>
      <w:r>
        <w:rPr>
          <w:rFonts w:ascii="Times New Roman" w:eastAsia="標楷體" w:hAnsi="Times New Roman" w:cs="Times New Roman" w:hint="eastAsia"/>
        </w:rPr>
        <w:t>係</w:t>
      </w:r>
      <w:r w:rsidRPr="001A2ED5">
        <w:rPr>
          <w:rFonts w:ascii="Times New Roman" w:eastAsia="標楷體" w:hAnsi="Times New Roman" w:cs="Times New Roman" w:hint="eastAsia"/>
        </w:rPr>
        <w:t>依財團法人中華民國會計研究發展基金會所公布之相關解釋函令予以重編。</w:t>
      </w:r>
    </w:p>
    <w:p w:rsidR="00062EAC" w:rsidRPr="001A2ED5" w:rsidRDefault="00062EAC" w:rsidP="00062EAC">
      <w:pPr>
        <w:pStyle w:val="Web"/>
        <w:widowControl w:val="0"/>
        <w:spacing w:before="0" w:beforeAutospacing="0" w:after="0" w:afterAutospacing="0"/>
        <w:ind w:leftChars="-177" w:left="175" w:rightChars="-177" w:right="-425" w:hangingChars="250" w:hanging="600"/>
        <w:jc w:val="both"/>
        <w:rPr>
          <w:rFonts w:ascii="Times New Roman" w:eastAsia="標楷體" w:hAnsi="Times New Roman" w:cs="Times New Roman"/>
        </w:rPr>
      </w:pPr>
      <w:proofErr w:type="gramStart"/>
      <w:r w:rsidRPr="001A2ED5">
        <w:rPr>
          <w:rFonts w:ascii="Times New Roman" w:eastAsia="標楷體" w:hAnsi="Times New Roman" w:cs="Times New Roman" w:hint="eastAsia"/>
        </w:rPr>
        <w:t>註</w:t>
      </w:r>
      <w:proofErr w:type="gramEnd"/>
      <w:r w:rsidRPr="001A2ED5">
        <w:rPr>
          <w:rFonts w:ascii="Times New Roman" w:eastAsia="標楷體" w:hAnsi="Times New Roman" w:cs="Times New Roman" w:hint="eastAsia"/>
        </w:rPr>
        <w:t>3</w:t>
      </w:r>
      <w:r w:rsidRPr="001A2ED5">
        <w:rPr>
          <w:rFonts w:ascii="Times New Roman" w:eastAsia="標楷體" w:hAnsi="Times New Roman" w:cs="Times New Roman" w:hint="eastAsia"/>
        </w:rPr>
        <w:t>：</w:t>
      </w:r>
      <w:proofErr w:type="gramStart"/>
      <w:r w:rsidRPr="001A2ED5">
        <w:rPr>
          <w:rFonts w:ascii="Times New Roman" w:eastAsia="標楷體" w:hAnsi="Times New Roman" w:cs="Times New Roman"/>
        </w:rPr>
        <w:t>103</w:t>
      </w:r>
      <w:proofErr w:type="gramEnd"/>
      <w:r w:rsidRPr="001A2ED5">
        <w:rPr>
          <w:rFonts w:ascii="Times New Roman" w:eastAsia="標楷體" w:hAnsi="Times New Roman" w:cs="Times New Roman" w:hint="eastAsia"/>
        </w:rPr>
        <w:t>年度資料係依「證券發行人財務報告編製準則」編製之合併財務資訊。</w:t>
      </w:r>
    </w:p>
    <w:p w:rsidR="00CA2E82" w:rsidRPr="00062EAC" w:rsidRDefault="00CA2E82" w:rsidP="00ED7722">
      <w:pPr>
        <w:ind w:leftChars="-177" w:left="566" w:rightChars="-118" w:right="-283" w:hangingChars="413" w:hanging="991"/>
        <w:jc w:val="both"/>
        <w:rPr>
          <w:rFonts w:eastAsia="標楷體"/>
        </w:rPr>
      </w:pPr>
    </w:p>
    <w:p w:rsidR="004A30A4" w:rsidRDefault="004A30A4">
      <w:pPr>
        <w:widowControl/>
        <w:rPr>
          <w:rFonts w:eastAsia="標楷體"/>
        </w:rPr>
      </w:pPr>
      <w:r>
        <w:rPr>
          <w:rFonts w:eastAsia="標楷體"/>
        </w:rPr>
        <w:br w:type="page"/>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161123">
        <w:trPr>
          <w:cantSplit/>
          <w:trHeight w:val="707"/>
        </w:trPr>
        <w:tc>
          <w:tcPr>
            <w:tcW w:w="9748" w:type="dxa"/>
            <w:gridSpan w:val="5"/>
            <w:tcBorders>
              <w:bottom w:val="single" w:sz="6" w:space="0" w:color="auto"/>
            </w:tcBorders>
          </w:tcPr>
          <w:bookmarkStart w:id="7" w:name="最近三年度財務比率及股利發放情形"/>
          <w:bookmarkEnd w:id="7"/>
          <w:p w:rsidR="00161123" w:rsidRDefault="00450137" w:rsidP="00C8529C">
            <w:pPr>
              <w:jc w:val="center"/>
              <w:rPr>
                <w:rFonts w:ascii="標楷體" w:eastAsia="標楷體" w:hAnsi="新細明體"/>
                <w:b/>
                <w:bCs/>
                <w:sz w:val="28"/>
              </w:rPr>
            </w:pPr>
            <w:r>
              <w:rPr>
                <w:rFonts w:ascii="標楷體" w:eastAsia="標楷體" w:hAnsi="新細明體"/>
                <w:b/>
                <w:bCs/>
                <w:noProof/>
                <w:sz w:val="28"/>
              </w:rPr>
              <w:lastRenderedPageBreak/>
              <mc:AlternateContent>
                <mc:Choice Requires="wps">
                  <w:drawing>
                    <wp:anchor distT="0" distB="0" distL="114300" distR="114300" simplePos="0" relativeHeight="251662336" behindDoc="1" locked="0" layoutInCell="1" allowOverlap="1" wp14:anchorId="343228B2" wp14:editId="03501088">
                      <wp:simplePos x="0" y="0"/>
                      <wp:positionH relativeFrom="column">
                        <wp:posOffset>0</wp:posOffset>
                      </wp:positionH>
                      <wp:positionV relativeFrom="paragraph">
                        <wp:posOffset>-635</wp:posOffset>
                      </wp:positionV>
                      <wp:extent cx="6172200" cy="450215"/>
                      <wp:effectExtent l="0" t="0" r="3810" b="1905"/>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E82" w:rsidRDefault="00CA2E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2" type="#_x0000_t202" style="position:absolute;left:0;text-align:left;margin-left:0;margin-top:-.05pt;width:486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0zwIAANQFAAAOAAAAZHJzL2Uyb0RvYy54bWysVMlu2zAQvRfoPxC8O1og2ZYQOUjiuiiQ&#10;LkBS9ExLlESUIlWStpQW/fcOSdlRmxyKojJAc5vhvDdv5vJq7Dg6UqWZFAWOLkKMqChlxURT4M8P&#10;u8UaI22IqAiXghb4kWp8tXn96nLocxrLVvKKKgROhM6HvsCtMX0eBLpsaUf0heypgMNaqo4YWKom&#10;qBQZwHvHgzgMl8EgVdUrWVKtYXfrD/HG+a9rWpqPda2pQbzAEJtxo3Lj3o7B5pLkjSJ9y8opDPIP&#10;UXSECXj07GpLDEEHxZ656lippJa1uShlF8i6ZiV1GABNFP6B5r4lPXVYgBzdn2nS/89t+eH4SSFW&#10;FTjBSJAOUvRAR4Nu5IiytaVn6HUOt+57uGdG2Ic0O6i6v5PlV42EvG2JaOi1UnJoKakgvMhaBjNT&#10;70dbJ/vhvazgHXIw0jkaa9VZ7oANBN4hTY/n1NhYSthcRqsY8o1RCWdJGsZR6p4g+cm6V9q8pbJD&#10;dlJgBal33snxThsbDclPV6ZEVTvGOVLSfGGmdVyfoDUabNwtjXoJeEKPWDX7W67QkYCa3mztbwqi&#10;0fPbaQjfc4ud+160iKzFCybPHgEU5+A4EwiIL3CaeHOkS8Ip5NLT79ToQNrguLCjkBa0p8PvAMMT&#10;WMu10+yPLIqT8CbOFrvlerVIdkm6yFbhehFG2U22DJMs2e5+WoBRkresqqi4Y4Ke6idK/k6fUyV7&#10;5bsKQkOBszROPXeSs3P0ek69Q+tqF+jQ82sdM9BOOOsKvPacAFSSW1W+EZWbG8K4nwe/h+8kAhyc&#10;/h0rTsNWtl7AZtyPrlqWNo1W33tZPYKoQUVOudAKYdJK9R2jAdpKgfW3A1EUI/5OgJCyKElsH3KL&#10;JF3FsFDzk/38hIgSXBXYYEi0nd4a37sOvWJNCy/5UhTyGoqpZk7nT1FNJQitw2Ga2pztTfO1u/XU&#10;jDe/AAAA//8DAFBLAwQUAAYACAAAACEAlbZQX9wAAAAFAQAADwAAAGRycy9kb3ducmV2LnhtbEyP&#10;zU7DMBCE70i8g7VI3FqnPZAQsqkqUEH8CIm2Elc3XpKIeB1iNw1vz3KC42hGM98Uq8l1aqQhtJ4R&#10;FvMEFHHlbcs1wn63mWWgQjRsTeeZEL4pwKo8PytMbv2J32jcxlpJCYfcIDQx9rnWoWrImTD3PbF4&#10;H35wJoocam0Hc5Jy1+llklxpZ1qWhcb0dNtQ9bk9OoTx8eH1efNEtL7j95fd3lXp132GeHkxrW9A&#10;RZriXxh+8QUdSmE6+CPboDoEORIRZgtQYl6nS9EHhDTJQJeF/k9f/gAAAP//AwBQSwECLQAUAAYA&#10;CAAAACEAtoM4kv4AAADhAQAAEwAAAAAAAAAAAAAAAAAAAAAAW0NvbnRlbnRfVHlwZXNdLnhtbFBL&#10;AQItABQABgAIAAAAIQA4/SH/1gAAAJQBAAALAAAAAAAAAAAAAAAAAC8BAABfcmVscy8ucmVsc1BL&#10;AQItABQABgAIAAAAIQC+vz10zwIAANQFAAAOAAAAAAAAAAAAAAAAAC4CAABkcnMvZTJvRG9jLnht&#10;bFBLAQItABQABgAIAAAAIQCVtlBf3AAAAAUBAAAPAAAAAAAAAAAAAAAAACkFAABkcnMvZG93bnJl&#10;di54bWxQSwUGAAAAAAQABADzAAAAMgYAAAAA&#10;" fillcolor="#ededed" stroked="f">
                      <v:fill rotate="t" focus="50%" type="gradient"/>
                      <v:textbox>
                        <w:txbxContent>
                          <w:p w:rsidR="00CA2E82" w:rsidRDefault="00CA2E82"/>
                        </w:txbxContent>
                      </v:textbox>
                    </v:shape>
                  </w:pict>
                </mc:Fallback>
              </mc:AlternateContent>
            </w:r>
            <w:r w:rsidR="00161123">
              <w:rPr>
                <w:rFonts w:ascii="標楷體" w:eastAsia="標楷體" w:hAnsi="新細明體" w:hint="eastAsia"/>
                <w:b/>
                <w:bCs/>
                <w:sz w:val="28"/>
              </w:rPr>
              <w:t>最近</w:t>
            </w:r>
            <w:proofErr w:type="gramStart"/>
            <w:r w:rsidR="00161123">
              <w:rPr>
                <w:rFonts w:ascii="標楷體" w:eastAsia="標楷體" w:hAnsi="新細明體" w:hint="eastAsia"/>
                <w:b/>
                <w:bCs/>
                <w:sz w:val="28"/>
              </w:rPr>
              <w:t>三</w:t>
            </w:r>
            <w:proofErr w:type="gramEnd"/>
            <w:r w:rsidR="00161123">
              <w:rPr>
                <w:rFonts w:ascii="標楷體" w:eastAsia="標楷體" w:hAnsi="新細明體" w:hint="eastAsia"/>
                <w:b/>
                <w:bCs/>
                <w:sz w:val="28"/>
              </w:rPr>
              <w:t>年度財務比率</w:t>
            </w:r>
          </w:p>
        </w:tc>
      </w:tr>
      <w:tr w:rsidR="0019438A">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19438A" w:rsidRDefault="0019438A">
            <w:pPr>
              <w:wordWrap w:val="0"/>
              <w:ind w:left="57" w:right="57"/>
              <w:jc w:val="right"/>
              <w:rPr>
                <w:rFonts w:eastAsia="標楷體"/>
              </w:rPr>
            </w:pPr>
            <w:r>
              <w:rPr>
                <w:rFonts w:eastAsia="標楷體" w:hAnsi="標楷體"/>
              </w:rPr>
              <w:t>年</w:t>
            </w:r>
            <w:r>
              <w:rPr>
                <w:rFonts w:eastAsia="標楷體" w:hAnsi="標楷體" w:hint="eastAsia"/>
              </w:rPr>
              <w:t xml:space="preserve">  </w:t>
            </w:r>
            <w:r>
              <w:rPr>
                <w:rFonts w:eastAsia="標楷體" w:hAnsi="標楷體"/>
              </w:rPr>
              <w:t>度</w:t>
            </w:r>
          </w:p>
          <w:p w:rsidR="0019438A" w:rsidRDefault="0019438A">
            <w:pPr>
              <w:ind w:firstLineChars="100" w:firstLine="240"/>
              <w:rPr>
                <w:rFonts w:eastAsia="標楷體"/>
              </w:rPr>
            </w:pPr>
            <w:r>
              <w:rPr>
                <w:rFonts w:eastAsia="標楷體" w:hAnsi="標楷體"/>
              </w:rPr>
              <w:t>項</w:t>
            </w:r>
            <w:r>
              <w:rPr>
                <w:rFonts w:eastAsia="標楷體" w:hAnsi="標楷體" w:hint="eastAsia"/>
              </w:rPr>
              <w:t xml:space="preserve">  </w:t>
            </w:r>
            <w:r>
              <w:rPr>
                <w:rFonts w:eastAsia="標楷體" w:hAnsi="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19438A" w:rsidRDefault="00D769A4" w:rsidP="0098083F">
            <w:pPr>
              <w:jc w:val="center"/>
              <w:rPr>
                <w:rFonts w:eastAsia="標楷體"/>
              </w:rPr>
            </w:pPr>
            <w:r>
              <w:rPr>
                <w:rFonts w:eastAsia="標楷體" w:hAnsi="標楷體" w:hint="eastAsia"/>
              </w:rPr>
              <w:t>101</w:t>
            </w:r>
            <w:r w:rsidR="0019438A">
              <w:rPr>
                <w:rFonts w:eastAsia="標楷體" w:hAnsi="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rsidR="0019438A" w:rsidRDefault="00D769A4" w:rsidP="0098083F">
            <w:pPr>
              <w:jc w:val="center"/>
              <w:rPr>
                <w:rFonts w:eastAsia="標楷體"/>
              </w:rPr>
            </w:pPr>
            <w:r>
              <w:rPr>
                <w:rFonts w:eastAsia="標楷體" w:hint="eastAsia"/>
              </w:rPr>
              <w:t>102</w:t>
            </w:r>
            <w:r w:rsidR="0019438A">
              <w:rPr>
                <w:rFonts w:eastAsia="標楷體" w:hint="eastAsia"/>
              </w:rPr>
              <w:t>年</w:t>
            </w:r>
          </w:p>
        </w:tc>
        <w:tc>
          <w:tcPr>
            <w:tcW w:w="2160" w:type="dxa"/>
            <w:tcBorders>
              <w:top w:val="single" w:sz="6" w:space="0" w:color="auto"/>
              <w:left w:val="single" w:sz="4" w:space="0" w:color="auto"/>
              <w:bottom w:val="single" w:sz="6" w:space="0" w:color="auto"/>
              <w:right w:val="single" w:sz="6" w:space="0" w:color="auto"/>
            </w:tcBorders>
            <w:vAlign w:val="center"/>
          </w:tcPr>
          <w:p w:rsidR="0019438A" w:rsidRDefault="00D769A4" w:rsidP="0098083F">
            <w:pPr>
              <w:jc w:val="center"/>
              <w:rPr>
                <w:rFonts w:eastAsia="標楷體"/>
              </w:rPr>
            </w:pPr>
            <w:r>
              <w:rPr>
                <w:rFonts w:eastAsia="標楷體" w:hint="eastAsia"/>
              </w:rPr>
              <w:t>103</w:t>
            </w:r>
            <w:r w:rsidR="0019438A">
              <w:rPr>
                <w:rFonts w:eastAsia="標楷體" w:hint="eastAsia"/>
              </w:rPr>
              <w:t>年</w:t>
            </w:r>
          </w:p>
        </w:tc>
      </w:tr>
      <w:tr w:rsidR="00DA608A" w:rsidTr="00C10195">
        <w:trPr>
          <w:cantSplit/>
        </w:trPr>
        <w:tc>
          <w:tcPr>
            <w:tcW w:w="568" w:type="dxa"/>
            <w:vMerge w:val="restart"/>
            <w:shd w:val="clear" w:color="auto" w:fill="F9F9F9"/>
          </w:tcPr>
          <w:p w:rsidR="00DA608A" w:rsidRPr="00801C5E" w:rsidRDefault="00DA608A" w:rsidP="00085AA0">
            <w:pPr>
              <w:spacing w:beforeLines="50" w:before="180"/>
              <w:jc w:val="center"/>
              <w:rPr>
                <w:rFonts w:eastAsia="標楷體"/>
              </w:rPr>
            </w:pPr>
            <w:bookmarkStart w:id="8" w:name="財務比率"/>
            <w:bookmarkEnd w:id="8"/>
            <w:r w:rsidRPr="00801C5E">
              <w:rPr>
                <w:rFonts w:eastAsia="標楷體"/>
              </w:rPr>
              <w:t>財</w:t>
            </w:r>
          </w:p>
          <w:p w:rsidR="00DA608A" w:rsidRPr="00801C5E" w:rsidRDefault="00DA608A" w:rsidP="00085AA0">
            <w:pPr>
              <w:jc w:val="center"/>
              <w:rPr>
                <w:rFonts w:eastAsia="標楷體"/>
              </w:rPr>
            </w:pPr>
            <w:proofErr w:type="gramStart"/>
            <w:r w:rsidRPr="00801C5E">
              <w:rPr>
                <w:rFonts w:eastAsia="標楷體"/>
              </w:rPr>
              <w:t>務</w:t>
            </w:r>
            <w:proofErr w:type="gramEnd"/>
          </w:p>
          <w:p w:rsidR="00DA608A" w:rsidRPr="00801C5E" w:rsidRDefault="00DA608A" w:rsidP="00085AA0">
            <w:pPr>
              <w:jc w:val="center"/>
              <w:rPr>
                <w:rFonts w:eastAsia="標楷體"/>
              </w:rPr>
            </w:pPr>
            <w:r w:rsidRPr="00801C5E">
              <w:rPr>
                <w:rFonts w:eastAsia="標楷體"/>
              </w:rPr>
              <w:t>比</w:t>
            </w:r>
          </w:p>
          <w:p w:rsidR="00DA608A" w:rsidRPr="00801C5E" w:rsidRDefault="00DA608A" w:rsidP="00085AA0">
            <w:pPr>
              <w:jc w:val="center"/>
              <w:rPr>
                <w:rFonts w:eastAsia="標楷體"/>
              </w:rPr>
            </w:pPr>
            <w:r w:rsidRPr="00801C5E">
              <w:rPr>
                <w:rFonts w:eastAsia="標楷體"/>
              </w:rPr>
              <w:t>率</w:t>
            </w:r>
          </w:p>
        </w:tc>
        <w:tc>
          <w:tcPr>
            <w:tcW w:w="2566" w:type="dxa"/>
            <w:shd w:val="clear" w:color="auto" w:fill="F9F9F9"/>
          </w:tcPr>
          <w:p w:rsidR="00DA608A" w:rsidRPr="00801C5E" w:rsidRDefault="00DA608A" w:rsidP="00085AA0">
            <w:pPr>
              <w:jc w:val="both"/>
              <w:rPr>
                <w:rFonts w:eastAsia="標楷體"/>
              </w:rPr>
            </w:pPr>
            <w:r w:rsidRPr="00801C5E">
              <w:rPr>
                <w:rFonts w:eastAsia="標楷體"/>
              </w:rPr>
              <w:t>毛利率</w:t>
            </w:r>
            <w:r w:rsidRPr="00801C5E">
              <w:rPr>
                <w:rFonts w:eastAsia="標楷體"/>
              </w:rPr>
              <w:t>(%)</w:t>
            </w:r>
          </w:p>
        </w:tc>
        <w:tc>
          <w:tcPr>
            <w:tcW w:w="2294" w:type="dxa"/>
            <w:vAlign w:val="center"/>
          </w:tcPr>
          <w:p w:rsidR="00DA608A" w:rsidRPr="004B3D9E" w:rsidRDefault="00DA608A" w:rsidP="00275226">
            <w:pPr>
              <w:ind w:right="57"/>
              <w:jc w:val="right"/>
              <w:rPr>
                <w:rFonts w:eastAsia="標楷體"/>
              </w:rPr>
            </w:pPr>
            <w:r>
              <w:rPr>
                <w:rFonts w:eastAsia="標楷體" w:hint="eastAsia"/>
              </w:rPr>
              <w:t>18.40</w:t>
            </w:r>
          </w:p>
        </w:tc>
        <w:tc>
          <w:tcPr>
            <w:tcW w:w="2160" w:type="dxa"/>
            <w:vAlign w:val="center"/>
          </w:tcPr>
          <w:p w:rsidR="00DA608A" w:rsidRPr="004B3D9E" w:rsidRDefault="00DA608A" w:rsidP="00275226">
            <w:pPr>
              <w:ind w:right="57"/>
              <w:jc w:val="right"/>
              <w:rPr>
                <w:rFonts w:eastAsia="標楷體"/>
              </w:rPr>
            </w:pPr>
            <w:r>
              <w:rPr>
                <w:rFonts w:eastAsia="標楷體" w:hint="eastAsia"/>
              </w:rPr>
              <w:t>27.10</w:t>
            </w:r>
          </w:p>
        </w:tc>
        <w:tc>
          <w:tcPr>
            <w:tcW w:w="2160" w:type="dxa"/>
            <w:vAlign w:val="center"/>
          </w:tcPr>
          <w:p w:rsidR="00DA608A" w:rsidRPr="004B3D9E" w:rsidRDefault="00DA608A" w:rsidP="00275226">
            <w:pPr>
              <w:ind w:right="57"/>
              <w:jc w:val="right"/>
              <w:rPr>
                <w:rFonts w:eastAsia="標楷體"/>
              </w:rPr>
            </w:pPr>
            <w:r>
              <w:rPr>
                <w:rFonts w:eastAsia="標楷體" w:hint="eastAsia"/>
              </w:rPr>
              <w:t>35.97</w:t>
            </w:r>
          </w:p>
        </w:tc>
      </w:tr>
      <w:tr w:rsidR="00DA608A" w:rsidTr="004345DA">
        <w:trPr>
          <w:cantSplit/>
        </w:trPr>
        <w:tc>
          <w:tcPr>
            <w:tcW w:w="568" w:type="dxa"/>
            <w:vMerge/>
          </w:tcPr>
          <w:p w:rsidR="00DA608A" w:rsidRPr="00801C5E" w:rsidRDefault="00DA608A" w:rsidP="00085AA0">
            <w:pPr>
              <w:jc w:val="both"/>
              <w:rPr>
                <w:rFonts w:eastAsia="標楷體"/>
              </w:rPr>
            </w:pPr>
          </w:p>
        </w:tc>
        <w:tc>
          <w:tcPr>
            <w:tcW w:w="2566" w:type="dxa"/>
            <w:shd w:val="clear" w:color="auto" w:fill="F9F9F9"/>
          </w:tcPr>
          <w:p w:rsidR="00DA608A" w:rsidRPr="00801C5E" w:rsidRDefault="00DA608A" w:rsidP="00085AA0">
            <w:pPr>
              <w:jc w:val="both"/>
              <w:rPr>
                <w:rFonts w:eastAsia="標楷體"/>
              </w:rPr>
            </w:pPr>
            <w:r w:rsidRPr="00801C5E">
              <w:rPr>
                <w:rFonts w:eastAsia="標楷體"/>
              </w:rPr>
              <w:t>流動比率</w:t>
            </w:r>
            <w:r w:rsidRPr="00801C5E">
              <w:rPr>
                <w:rFonts w:eastAsia="標楷體"/>
              </w:rPr>
              <w:t>(%)</w:t>
            </w:r>
          </w:p>
        </w:tc>
        <w:tc>
          <w:tcPr>
            <w:tcW w:w="2294" w:type="dxa"/>
            <w:vAlign w:val="center"/>
          </w:tcPr>
          <w:p w:rsidR="00DA608A" w:rsidRPr="00981E16" w:rsidRDefault="00DA608A" w:rsidP="00275226">
            <w:pPr>
              <w:jc w:val="right"/>
            </w:pPr>
            <w:r w:rsidRPr="00981E16">
              <w:t>138.61</w:t>
            </w:r>
          </w:p>
        </w:tc>
        <w:tc>
          <w:tcPr>
            <w:tcW w:w="2160" w:type="dxa"/>
            <w:vAlign w:val="center"/>
          </w:tcPr>
          <w:p w:rsidR="00DA608A" w:rsidRPr="00981E16" w:rsidRDefault="00DA608A" w:rsidP="00275226">
            <w:pPr>
              <w:jc w:val="right"/>
            </w:pPr>
            <w:r w:rsidRPr="00981E16">
              <w:t>170.91</w:t>
            </w:r>
          </w:p>
        </w:tc>
        <w:tc>
          <w:tcPr>
            <w:tcW w:w="2160" w:type="dxa"/>
          </w:tcPr>
          <w:p w:rsidR="00DA608A" w:rsidRPr="0098083F" w:rsidRDefault="00DA608A" w:rsidP="00085AA0">
            <w:pPr>
              <w:jc w:val="right"/>
              <w:rPr>
                <w:highlight w:val="yellow"/>
              </w:rPr>
            </w:pPr>
            <w:r w:rsidRPr="009F723B">
              <w:rPr>
                <w:color w:val="000000"/>
              </w:rPr>
              <w:t>349.33</w:t>
            </w:r>
          </w:p>
        </w:tc>
      </w:tr>
      <w:tr w:rsidR="00DA608A" w:rsidTr="003D5C68">
        <w:trPr>
          <w:cantSplit/>
        </w:trPr>
        <w:tc>
          <w:tcPr>
            <w:tcW w:w="568" w:type="dxa"/>
            <w:vMerge/>
          </w:tcPr>
          <w:p w:rsidR="00DA608A" w:rsidRPr="00801C5E" w:rsidRDefault="00DA608A" w:rsidP="00085AA0">
            <w:pPr>
              <w:jc w:val="both"/>
              <w:rPr>
                <w:rFonts w:eastAsia="標楷體"/>
              </w:rPr>
            </w:pPr>
          </w:p>
        </w:tc>
        <w:tc>
          <w:tcPr>
            <w:tcW w:w="2566" w:type="dxa"/>
            <w:shd w:val="clear" w:color="auto" w:fill="F9F9F9"/>
          </w:tcPr>
          <w:p w:rsidR="00DA608A" w:rsidRPr="00801C5E" w:rsidRDefault="00DA608A" w:rsidP="00085AA0">
            <w:pPr>
              <w:jc w:val="both"/>
              <w:rPr>
                <w:rFonts w:eastAsia="標楷體"/>
              </w:rPr>
            </w:pPr>
            <w:r w:rsidRPr="00801C5E">
              <w:rPr>
                <w:rFonts w:eastAsia="標楷體"/>
              </w:rPr>
              <w:t>應收帳款天數</w:t>
            </w:r>
            <w:r w:rsidRPr="00801C5E">
              <w:rPr>
                <w:rFonts w:eastAsia="標楷體"/>
              </w:rPr>
              <w:t>(</w:t>
            </w:r>
            <w:r w:rsidRPr="00801C5E">
              <w:rPr>
                <w:rFonts w:eastAsia="標楷體"/>
              </w:rPr>
              <w:t>天</w:t>
            </w:r>
            <w:r w:rsidRPr="00801C5E">
              <w:rPr>
                <w:rFonts w:eastAsia="標楷體"/>
              </w:rPr>
              <w:t>)</w:t>
            </w:r>
          </w:p>
        </w:tc>
        <w:tc>
          <w:tcPr>
            <w:tcW w:w="2294" w:type="dxa"/>
            <w:vAlign w:val="center"/>
          </w:tcPr>
          <w:p w:rsidR="00DA608A" w:rsidRPr="003E7DC2" w:rsidRDefault="003E7DC2" w:rsidP="00275226">
            <w:pPr>
              <w:jc w:val="right"/>
            </w:pPr>
            <w:r w:rsidRPr="003E7DC2">
              <w:rPr>
                <w:rFonts w:hint="eastAsia"/>
              </w:rPr>
              <w:t>30.11</w:t>
            </w:r>
            <w:r w:rsidR="00DA608A" w:rsidRPr="003E7DC2">
              <w:t xml:space="preserve"> </w:t>
            </w:r>
          </w:p>
        </w:tc>
        <w:tc>
          <w:tcPr>
            <w:tcW w:w="2160" w:type="dxa"/>
            <w:vAlign w:val="center"/>
          </w:tcPr>
          <w:p w:rsidR="00DA608A" w:rsidRPr="003E7DC2" w:rsidRDefault="00DA608A" w:rsidP="003E7DC2">
            <w:pPr>
              <w:jc w:val="right"/>
            </w:pPr>
            <w:r w:rsidRPr="003E7DC2">
              <w:t xml:space="preserve">     </w:t>
            </w:r>
            <w:r w:rsidR="003E7DC2" w:rsidRPr="003E7DC2">
              <w:rPr>
                <w:rFonts w:hint="eastAsia"/>
              </w:rPr>
              <w:t>85.72</w:t>
            </w:r>
            <w:r w:rsidRPr="003E7DC2">
              <w:t xml:space="preserve"> </w:t>
            </w:r>
          </w:p>
        </w:tc>
        <w:tc>
          <w:tcPr>
            <w:tcW w:w="2160" w:type="dxa"/>
            <w:vAlign w:val="center"/>
          </w:tcPr>
          <w:p w:rsidR="00DA608A" w:rsidRPr="0098083F" w:rsidRDefault="003E7DC2" w:rsidP="00085AA0">
            <w:pPr>
              <w:ind w:rightChars="-3" w:right="-7"/>
              <w:jc w:val="right"/>
              <w:rPr>
                <w:highlight w:val="yellow"/>
              </w:rPr>
            </w:pPr>
            <w:r>
              <w:rPr>
                <w:rFonts w:hint="eastAsia"/>
                <w:color w:val="000000"/>
              </w:rPr>
              <w:t>90.64</w:t>
            </w:r>
          </w:p>
        </w:tc>
      </w:tr>
      <w:tr w:rsidR="00DA608A" w:rsidTr="006D7912">
        <w:trPr>
          <w:cantSplit/>
        </w:trPr>
        <w:tc>
          <w:tcPr>
            <w:tcW w:w="568" w:type="dxa"/>
            <w:vMerge/>
          </w:tcPr>
          <w:p w:rsidR="00DA608A" w:rsidRPr="00801C5E" w:rsidRDefault="00DA608A" w:rsidP="00085AA0">
            <w:pPr>
              <w:jc w:val="both"/>
              <w:rPr>
                <w:rFonts w:eastAsia="標楷體"/>
              </w:rPr>
            </w:pPr>
          </w:p>
        </w:tc>
        <w:tc>
          <w:tcPr>
            <w:tcW w:w="2566" w:type="dxa"/>
            <w:shd w:val="clear" w:color="auto" w:fill="F9F9F9"/>
          </w:tcPr>
          <w:p w:rsidR="00DA608A" w:rsidRPr="00801C5E" w:rsidRDefault="00DA608A" w:rsidP="00085AA0">
            <w:pPr>
              <w:jc w:val="both"/>
              <w:rPr>
                <w:rFonts w:eastAsia="標楷體"/>
              </w:rPr>
            </w:pPr>
            <w:r w:rsidRPr="00801C5E">
              <w:rPr>
                <w:rFonts w:eastAsia="標楷體"/>
              </w:rPr>
              <w:t>存貨週轉天數</w:t>
            </w:r>
            <w:r w:rsidRPr="00801C5E">
              <w:rPr>
                <w:rFonts w:eastAsia="標楷體"/>
              </w:rPr>
              <w:t>(</w:t>
            </w:r>
            <w:r w:rsidRPr="00801C5E">
              <w:rPr>
                <w:rFonts w:eastAsia="標楷體"/>
              </w:rPr>
              <w:t>天</w:t>
            </w:r>
            <w:r w:rsidRPr="00801C5E">
              <w:rPr>
                <w:rFonts w:eastAsia="標楷體"/>
              </w:rPr>
              <w:t>)</w:t>
            </w:r>
          </w:p>
        </w:tc>
        <w:tc>
          <w:tcPr>
            <w:tcW w:w="2294" w:type="dxa"/>
            <w:vAlign w:val="center"/>
          </w:tcPr>
          <w:p w:rsidR="00DA608A" w:rsidRPr="003E7DC2" w:rsidRDefault="00DA608A" w:rsidP="003E7DC2">
            <w:pPr>
              <w:jc w:val="right"/>
            </w:pPr>
            <w:r w:rsidRPr="003E7DC2">
              <w:t xml:space="preserve">    </w:t>
            </w:r>
            <w:r w:rsidR="003E7DC2" w:rsidRPr="003E7DC2">
              <w:rPr>
                <w:rFonts w:hint="eastAsia"/>
              </w:rPr>
              <w:t>60.73</w:t>
            </w:r>
            <w:r w:rsidRPr="003E7DC2">
              <w:t xml:space="preserve"> </w:t>
            </w:r>
          </w:p>
        </w:tc>
        <w:tc>
          <w:tcPr>
            <w:tcW w:w="2160" w:type="dxa"/>
            <w:vAlign w:val="center"/>
          </w:tcPr>
          <w:p w:rsidR="00DA608A" w:rsidRPr="003E7DC2" w:rsidRDefault="00DA608A" w:rsidP="003E7DC2">
            <w:pPr>
              <w:jc w:val="right"/>
            </w:pPr>
            <w:r w:rsidRPr="003E7DC2">
              <w:t xml:space="preserve">     </w:t>
            </w:r>
            <w:r w:rsidR="003E7DC2" w:rsidRPr="003E7DC2">
              <w:rPr>
                <w:rFonts w:hint="eastAsia"/>
              </w:rPr>
              <w:t>74.79</w:t>
            </w:r>
            <w:r w:rsidRPr="003E7DC2">
              <w:t xml:space="preserve"> </w:t>
            </w:r>
          </w:p>
        </w:tc>
        <w:tc>
          <w:tcPr>
            <w:tcW w:w="2160" w:type="dxa"/>
            <w:vAlign w:val="center"/>
          </w:tcPr>
          <w:p w:rsidR="00DA608A" w:rsidRPr="00DA608A" w:rsidRDefault="003E7DC2" w:rsidP="00085AA0">
            <w:pPr>
              <w:ind w:rightChars="-3" w:right="-7"/>
              <w:jc w:val="right"/>
            </w:pPr>
            <w:r>
              <w:rPr>
                <w:rFonts w:hint="eastAsia"/>
              </w:rPr>
              <w:t>52.92</w:t>
            </w:r>
          </w:p>
        </w:tc>
      </w:tr>
      <w:tr w:rsidR="00DA608A" w:rsidTr="00AA168A">
        <w:trPr>
          <w:cantSplit/>
        </w:trPr>
        <w:tc>
          <w:tcPr>
            <w:tcW w:w="568" w:type="dxa"/>
            <w:vMerge/>
          </w:tcPr>
          <w:p w:rsidR="00DA608A" w:rsidRPr="00801C5E" w:rsidRDefault="00DA608A" w:rsidP="00085AA0">
            <w:pPr>
              <w:jc w:val="both"/>
              <w:rPr>
                <w:rFonts w:eastAsia="標楷體"/>
              </w:rPr>
            </w:pPr>
          </w:p>
        </w:tc>
        <w:tc>
          <w:tcPr>
            <w:tcW w:w="2566" w:type="dxa"/>
            <w:shd w:val="clear" w:color="auto" w:fill="F9F9F9"/>
          </w:tcPr>
          <w:p w:rsidR="00DA608A" w:rsidRPr="00801C5E" w:rsidRDefault="00DA608A" w:rsidP="00085AA0">
            <w:pPr>
              <w:jc w:val="both"/>
              <w:rPr>
                <w:rFonts w:eastAsia="標楷體"/>
              </w:rPr>
            </w:pPr>
            <w:r w:rsidRPr="00801C5E">
              <w:rPr>
                <w:rFonts w:eastAsia="標楷體"/>
              </w:rPr>
              <w:t>負債比率</w:t>
            </w:r>
            <w:r w:rsidRPr="00801C5E">
              <w:rPr>
                <w:rFonts w:eastAsia="標楷體"/>
              </w:rPr>
              <w:t>(%)</w:t>
            </w:r>
          </w:p>
        </w:tc>
        <w:tc>
          <w:tcPr>
            <w:tcW w:w="2294" w:type="dxa"/>
            <w:vAlign w:val="center"/>
          </w:tcPr>
          <w:p w:rsidR="00DA608A" w:rsidRPr="00981E16" w:rsidRDefault="00DA608A" w:rsidP="00275226">
            <w:pPr>
              <w:jc w:val="right"/>
            </w:pPr>
            <w:r w:rsidRPr="00981E16">
              <w:t>49.60</w:t>
            </w:r>
          </w:p>
        </w:tc>
        <w:tc>
          <w:tcPr>
            <w:tcW w:w="2160" w:type="dxa"/>
            <w:vAlign w:val="center"/>
          </w:tcPr>
          <w:p w:rsidR="00DA608A" w:rsidRPr="00981E16" w:rsidRDefault="00DA608A" w:rsidP="00275226">
            <w:pPr>
              <w:jc w:val="right"/>
            </w:pPr>
            <w:r w:rsidRPr="00981E16">
              <w:t>28.90</w:t>
            </w:r>
          </w:p>
        </w:tc>
        <w:tc>
          <w:tcPr>
            <w:tcW w:w="2160" w:type="dxa"/>
            <w:vAlign w:val="center"/>
          </w:tcPr>
          <w:p w:rsidR="00DA608A" w:rsidRPr="0098083F" w:rsidRDefault="00DA608A" w:rsidP="00085AA0">
            <w:pPr>
              <w:ind w:rightChars="-3" w:right="-7"/>
              <w:jc w:val="right"/>
              <w:rPr>
                <w:highlight w:val="yellow"/>
              </w:rPr>
            </w:pPr>
            <w:r w:rsidRPr="009F723B">
              <w:rPr>
                <w:color w:val="000000"/>
              </w:rPr>
              <w:t>27.64</w:t>
            </w:r>
          </w:p>
        </w:tc>
      </w:tr>
    </w:tbl>
    <w:p w:rsidR="00B33FE8" w:rsidRDefault="00B33FE8" w:rsidP="00B33FE8">
      <w:pPr>
        <w:ind w:left="1133" w:rightChars="28" w:right="67" w:hangingChars="472" w:hanging="1133"/>
        <w:jc w:val="both"/>
        <w:rPr>
          <w:rFonts w:eastAsia="標楷體"/>
          <w:color w:val="000000"/>
        </w:rPr>
      </w:pPr>
      <w:r>
        <w:rPr>
          <w:rFonts w:eastAsia="標楷體" w:hint="eastAsia"/>
          <w:szCs w:val="20"/>
        </w:rPr>
        <w:t>資</w:t>
      </w:r>
      <w:r>
        <w:rPr>
          <w:rFonts w:eastAsia="標楷體" w:hint="eastAsia"/>
          <w:color w:val="000000"/>
          <w:szCs w:val="20"/>
        </w:rPr>
        <w:t>料來源：</w:t>
      </w:r>
      <w:r>
        <w:rPr>
          <w:rFonts w:eastAsia="標楷體"/>
          <w:color w:val="000000"/>
        </w:rPr>
        <w:t>101~</w:t>
      </w:r>
      <w:proofErr w:type="gramStart"/>
      <w:r>
        <w:rPr>
          <w:rFonts w:eastAsia="標楷體"/>
          <w:color w:val="000000"/>
        </w:rPr>
        <w:t>103</w:t>
      </w:r>
      <w:proofErr w:type="gramEnd"/>
      <w:r>
        <w:rPr>
          <w:rFonts w:eastAsia="標楷體" w:hint="eastAsia"/>
          <w:color w:val="000000"/>
        </w:rPr>
        <w:t>年度資料係經會計師查核簽證之財務報告。</w:t>
      </w:r>
      <w:r>
        <w:rPr>
          <w:rFonts w:eastAsia="標楷體"/>
          <w:color w:val="000000"/>
        </w:rPr>
        <w:t>101~</w:t>
      </w:r>
      <w:proofErr w:type="gramStart"/>
      <w:r>
        <w:rPr>
          <w:rFonts w:eastAsia="標楷體"/>
          <w:color w:val="000000"/>
        </w:rPr>
        <w:t>10</w:t>
      </w:r>
      <w:r>
        <w:rPr>
          <w:rFonts w:eastAsia="標楷體" w:hint="eastAsia"/>
          <w:color w:val="000000"/>
        </w:rPr>
        <w:t>2</w:t>
      </w:r>
      <w:proofErr w:type="gramEnd"/>
      <w:r>
        <w:rPr>
          <w:rFonts w:eastAsia="標楷體" w:hint="eastAsia"/>
          <w:color w:val="000000"/>
        </w:rPr>
        <w:t>年度資料係依據「商業會計法」而非「證券發行人財務報告編製準則」編製之</w:t>
      </w:r>
      <w:r w:rsidR="00FD5BE6">
        <w:rPr>
          <w:rFonts w:eastAsia="標楷體" w:hint="eastAsia"/>
          <w:color w:val="000000"/>
        </w:rPr>
        <w:t>個體</w:t>
      </w:r>
      <w:r>
        <w:rPr>
          <w:rFonts w:eastAsia="標楷體" w:hint="eastAsia"/>
          <w:color w:val="000000"/>
        </w:rPr>
        <w:t>財務報告。</w:t>
      </w:r>
    </w:p>
    <w:p w:rsidR="0056177F" w:rsidRPr="00B33FE8" w:rsidRDefault="0056177F">
      <w:pPr>
        <w:jc w:val="both"/>
        <w:rPr>
          <w:rFonts w:eastAsia="標楷體"/>
        </w:rPr>
      </w:pPr>
    </w:p>
    <w:p w:rsidR="00611A87" w:rsidRDefault="007B3716">
      <w:pPr>
        <w:jc w:val="both"/>
        <w:rPr>
          <w:rFonts w:ascii="新細明體" w:hAnsi="新細明體"/>
        </w:rPr>
      </w:pPr>
      <w:r>
        <w:rPr>
          <w:rFonts w:ascii="新細明體" w:hAnsi="新細明體" w:hint="eastAsia"/>
          <w:noProof/>
        </w:rPr>
        <w:drawing>
          <wp:inline distT="0" distB="0" distL="0" distR="0">
            <wp:extent cx="413385" cy="151130"/>
            <wp:effectExtent l="19050" t="0" r="5715" b="0"/>
            <wp:docPr id="3" name="圖片 3" descr="icon_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5" cstate="print"/>
                    <a:srcRect/>
                    <a:stretch>
                      <a:fillRect/>
                    </a:stretch>
                  </pic:blipFill>
                  <pic:spPr bwMode="auto">
                    <a:xfrm>
                      <a:off x="0" y="0"/>
                      <a:ext cx="413385" cy="151130"/>
                    </a:xfrm>
                    <a:prstGeom prst="rect">
                      <a:avLst/>
                    </a:prstGeom>
                    <a:noFill/>
                    <a:ln w="9525">
                      <a:noFill/>
                      <a:miter lim="800000"/>
                      <a:headEnd/>
                      <a:tailEnd/>
                    </a:ln>
                  </pic:spPr>
                </pic:pic>
              </a:graphicData>
            </a:graphic>
          </wp:inline>
        </w:drawing>
      </w:r>
    </w:p>
    <w:p w:rsidR="00161123" w:rsidRPr="009B1824" w:rsidRDefault="00161123">
      <w:pPr>
        <w:rPr>
          <w:rFonts w:eastAsia="標楷體"/>
          <w:color w:val="FE8531"/>
          <w:sz w:val="20"/>
          <w:szCs w:val="20"/>
        </w:rPr>
      </w:pPr>
      <w:r w:rsidRPr="009B1824">
        <w:rPr>
          <w:rFonts w:eastAsia="標楷體"/>
          <w:color w:val="FF6600"/>
          <w:sz w:val="20"/>
          <w:szCs w:val="20"/>
        </w:rPr>
        <w:t>投資人若欲查詢該公司更詳細之資料請連結至</w:t>
      </w:r>
      <w:hyperlink r:id="rId16" w:history="1">
        <w:r w:rsidRPr="009B1824">
          <w:rPr>
            <w:rStyle w:val="a6"/>
            <w:rFonts w:eastAsia="標楷體"/>
            <w:b/>
            <w:color w:val="3366FF"/>
            <w:sz w:val="20"/>
            <w:szCs w:val="20"/>
          </w:rPr>
          <w:t>公開資訊觀測站</w:t>
        </w:r>
      </w:hyperlink>
      <w:r w:rsidRPr="009B1824">
        <w:rPr>
          <w:rFonts w:eastAsia="標楷體"/>
          <w:color w:val="FF6600"/>
          <w:sz w:val="20"/>
          <w:szCs w:val="20"/>
        </w:rPr>
        <w:t>!!</w:t>
      </w:r>
    </w:p>
    <w:sectPr w:rsidR="00161123" w:rsidRPr="009B1824">
      <w:footerReference w:type="even" r:id="rId17"/>
      <w:footerReference w:type="default" r:id="rId18"/>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C4" w:rsidRDefault="00B701C4">
      <w:r>
        <w:separator/>
      </w:r>
    </w:p>
  </w:endnote>
  <w:endnote w:type="continuationSeparator" w:id="0">
    <w:p w:rsidR="00B701C4" w:rsidRDefault="00B7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82" w:rsidRDefault="00CA2E82">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A2E82" w:rsidRDefault="00CA2E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82" w:rsidRDefault="00CA2E82">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110C2">
      <w:rPr>
        <w:rStyle w:val="ad"/>
        <w:noProof/>
      </w:rPr>
      <w:t>5</w:t>
    </w:r>
    <w:r>
      <w:rPr>
        <w:rStyle w:val="ad"/>
      </w:rPr>
      <w:fldChar w:fldCharType="end"/>
    </w:r>
  </w:p>
  <w:p w:rsidR="00CA2E82" w:rsidRDefault="00CA2E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C4" w:rsidRDefault="00B701C4">
      <w:r>
        <w:separator/>
      </w:r>
    </w:p>
  </w:footnote>
  <w:footnote w:type="continuationSeparator" w:id="0">
    <w:p w:rsidR="00B701C4" w:rsidRDefault="00B70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45pt;height:12.9pt" o:bullet="t">
        <v:imagedata r:id="rId1" o:title="icon_page_title"/>
      </v:shape>
    </w:pict>
  </w:numPicBullet>
  <w:abstractNum w:abstractNumId="0">
    <w:nsid w:val="002828CA"/>
    <w:multiLevelType w:val="hybridMultilevel"/>
    <w:tmpl w:val="2F540AD2"/>
    <w:lvl w:ilvl="0" w:tplc="04090011">
      <w:start w:val="1"/>
      <w:numFmt w:val="upperLetter"/>
      <w:lvlText w:val="%1."/>
      <w:lvlJc w:val="left"/>
      <w:pPr>
        <w:ind w:left="1032" w:hanging="480"/>
      </w:p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
    <w:nsid w:val="1128645D"/>
    <w:multiLevelType w:val="hybridMultilevel"/>
    <w:tmpl w:val="FE9EAFDE"/>
    <w:lvl w:ilvl="0" w:tplc="6588A804">
      <w:start w:val="1"/>
      <w:numFmt w:val="upperLetter"/>
      <w:lvlText w:val="%1."/>
      <w:lvlJc w:val="left"/>
      <w:pPr>
        <w:ind w:left="1032" w:hanging="480"/>
      </w:pPr>
      <w:rPr>
        <w:rFonts w:ascii="Times New Roman" w:hAnsi="Times New Roman" w:cs="Times New Roman" w:hint="default"/>
      </w:rPr>
    </w:lvl>
    <w:lvl w:ilvl="1" w:tplc="04090019" w:tentative="1">
      <w:start w:val="1"/>
      <w:numFmt w:val="ideographTraditional"/>
      <w:lvlText w:val="%2、"/>
      <w:lvlJc w:val="left"/>
      <w:pPr>
        <w:ind w:left="1512" w:hanging="480"/>
      </w:pPr>
      <w:rPr>
        <w:rFonts w:cs="Times New Roman"/>
      </w:rPr>
    </w:lvl>
    <w:lvl w:ilvl="2" w:tplc="0409001B" w:tentative="1">
      <w:start w:val="1"/>
      <w:numFmt w:val="lowerRoman"/>
      <w:lvlText w:val="%3."/>
      <w:lvlJc w:val="right"/>
      <w:pPr>
        <w:ind w:left="1992" w:hanging="480"/>
      </w:pPr>
      <w:rPr>
        <w:rFonts w:cs="Times New Roman"/>
      </w:rPr>
    </w:lvl>
    <w:lvl w:ilvl="3" w:tplc="0409000F" w:tentative="1">
      <w:start w:val="1"/>
      <w:numFmt w:val="decimal"/>
      <w:lvlText w:val="%4."/>
      <w:lvlJc w:val="left"/>
      <w:pPr>
        <w:ind w:left="2472" w:hanging="480"/>
      </w:pPr>
      <w:rPr>
        <w:rFonts w:cs="Times New Roman"/>
      </w:rPr>
    </w:lvl>
    <w:lvl w:ilvl="4" w:tplc="04090019" w:tentative="1">
      <w:start w:val="1"/>
      <w:numFmt w:val="ideographTraditional"/>
      <w:lvlText w:val="%5、"/>
      <w:lvlJc w:val="left"/>
      <w:pPr>
        <w:ind w:left="2952" w:hanging="480"/>
      </w:pPr>
      <w:rPr>
        <w:rFonts w:cs="Times New Roman"/>
      </w:rPr>
    </w:lvl>
    <w:lvl w:ilvl="5" w:tplc="0409001B" w:tentative="1">
      <w:start w:val="1"/>
      <w:numFmt w:val="lowerRoman"/>
      <w:lvlText w:val="%6."/>
      <w:lvlJc w:val="right"/>
      <w:pPr>
        <w:ind w:left="3432" w:hanging="480"/>
      </w:pPr>
      <w:rPr>
        <w:rFonts w:cs="Times New Roman"/>
      </w:rPr>
    </w:lvl>
    <w:lvl w:ilvl="6" w:tplc="0409000F" w:tentative="1">
      <w:start w:val="1"/>
      <w:numFmt w:val="decimal"/>
      <w:lvlText w:val="%7."/>
      <w:lvlJc w:val="left"/>
      <w:pPr>
        <w:ind w:left="3912" w:hanging="480"/>
      </w:pPr>
      <w:rPr>
        <w:rFonts w:cs="Times New Roman"/>
      </w:rPr>
    </w:lvl>
    <w:lvl w:ilvl="7" w:tplc="04090019" w:tentative="1">
      <w:start w:val="1"/>
      <w:numFmt w:val="ideographTraditional"/>
      <w:lvlText w:val="%8、"/>
      <w:lvlJc w:val="left"/>
      <w:pPr>
        <w:ind w:left="4392" w:hanging="480"/>
      </w:pPr>
      <w:rPr>
        <w:rFonts w:cs="Times New Roman"/>
      </w:rPr>
    </w:lvl>
    <w:lvl w:ilvl="8" w:tplc="0409001B" w:tentative="1">
      <w:start w:val="1"/>
      <w:numFmt w:val="lowerRoman"/>
      <w:lvlText w:val="%9."/>
      <w:lvlJc w:val="right"/>
      <w:pPr>
        <w:ind w:left="4872" w:hanging="480"/>
      </w:pPr>
      <w:rPr>
        <w:rFonts w:cs="Times New Roman"/>
      </w:rPr>
    </w:lvl>
  </w:abstractNum>
  <w:abstractNum w:abstractNumId="2">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3025446B"/>
    <w:multiLevelType w:val="hybridMultilevel"/>
    <w:tmpl w:val="42E84E1A"/>
    <w:lvl w:ilvl="0" w:tplc="04090011">
      <w:start w:val="1"/>
      <w:numFmt w:val="upperLetter"/>
      <w:lvlText w:val="%1."/>
      <w:lvlJc w:val="left"/>
      <w:pPr>
        <w:ind w:left="552" w:hanging="480"/>
      </w:pPr>
      <w:rPr>
        <w:rFonts w:cs="Times New Roman"/>
      </w:rPr>
    </w:lvl>
    <w:lvl w:ilvl="1" w:tplc="04090011">
      <w:start w:val="1"/>
      <w:numFmt w:val="upperLetter"/>
      <w:lvlText w:val="%2."/>
      <w:lvlJc w:val="left"/>
      <w:pPr>
        <w:ind w:left="1032" w:hanging="480"/>
      </w:pPr>
      <w:rPr>
        <w:rFonts w:cs="Times New Roman"/>
      </w:rPr>
    </w:lvl>
    <w:lvl w:ilvl="2" w:tplc="0409000F">
      <w:start w:val="1"/>
      <w:numFmt w:val="decimal"/>
      <w:lvlText w:val="%3."/>
      <w:lvlJc w:val="left"/>
      <w:pPr>
        <w:ind w:left="1512" w:hanging="480"/>
      </w:pPr>
      <w:rPr>
        <w:rFonts w:cs="Times New Roman"/>
      </w:rPr>
    </w:lvl>
    <w:lvl w:ilvl="3" w:tplc="C7CC96F4">
      <w:start w:val="18"/>
      <w:numFmt w:val="decimal"/>
      <w:lvlText w:val="%4"/>
      <w:lvlJc w:val="left"/>
      <w:pPr>
        <w:ind w:left="1872" w:hanging="360"/>
      </w:pPr>
      <w:rPr>
        <w:rFonts w:cs="Times New Roman" w:hint="default"/>
      </w:rPr>
    </w:lvl>
    <w:lvl w:ilvl="4" w:tplc="04090019" w:tentative="1">
      <w:start w:val="1"/>
      <w:numFmt w:val="ideographTraditional"/>
      <w:lvlText w:val="%5、"/>
      <w:lvlJc w:val="left"/>
      <w:pPr>
        <w:ind w:left="2472" w:hanging="480"/>
      </w:pPr>
      <w:rPr>
        <w:rFonts w:cs="Times New Roman"/>
      </w:rPr>
    </w:lvl>
    <w:lvl w:ilvl="5" w:tplc="0409001B" w:tentative="1">
      <w:start w:val="1"/>
      <w:numFmt w:val="lowerRoman"/>
      <w:lvlText w:val="%6."/>
      <w:lvlJc w:val="right"/>
      <w:pPr>
        <w:ind w:left="2952" w:hanging="480"/>
      </w:pPr>
      <w:rPr>
        <w:rFonts w:cs="Times New Roman"/>
      </w:rPr>
    </w:lvl>
    <w:lvl w:ilvl="6" w:tplc="0409000F" w:tentative="1">
      <w:start w:val="1"/>
      <w:numFmt w:val="decimal"/>
      <w:lvlText w:val="%7."/>
      <w:lvlJc w:val="left"/>
      <w:pPr>
        <w:ind w:left="3432" w:hanging="480"/>
      </w:pPr>
      <w:rPr>
        <w:rFonts w:cs="Times New Roman"/>
      </w:rPr>
    </w:lvl>
    <w:lvl w:ilvl="7" w:tplc="04090019" w:tentative="1">
      <w:start w:val="1"/>
      <w:numFmt w:val="ideographTraditional"/>
      <w:lvlText w:val="%8、"/>
      <w:lvlJc w:val="left"/>
      <w:pPr>
        <w:ind w:left="3912" w:hanging="480"/>
      </w:pPr>
      <w:rPr>
        <w:rFonts w:cs="Times New Roman"/>
      </w:rPr>
    </w:lvl>
    <w:lvl w:ilvl="8" w:tplc="0409001B" w:tentative="1">
      <w:start w:val="1"/>
      <w:numFmt w:val="lowerRoman"/>
      <w:lvlText w:val="%9."/>
      <w:lvlJc w:val="right"/>
      <w:pPr>
        <w:ind w:left="4392" w:hanging="480"/>
      </w:pPr>
      <w:rPr>
        <w:rFonts w:cs="Times New Roman"/>
      </w:rPr>
    </w:lvl>
  </w:abstractNum>
  <w:abstractNum w:abstractNumId="5">
    <w:nsid w:val="5762125F"/>
    <w:multiLevelType w:val="hybridMultilevel"/>
    <w:tmpl w:val="C31A4FE6"/>
    <w:lvl w:ilvl="0" w:tplc="4F3C4B4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A"/>
    <w:rsid w:val="000002BB"/>
    <w:rsid w:val="000016E4"/>
    <w:rsid w:val="00002A7F"/>
    <w:rsid w:val="00007B85"/>
    <w:rsid w:val="00026369"/>
    <w:rsid w:val="0005586B"/>
    <w:rsid w:val="0005727C"/>
    <w:rsid w:val="00062EAC"/>
    <w:rsid w:val="00063522"/>
    <w:rsid w:val="00083F99"/>
    <w:rsid w:val="00085AA0"/>
    <w:rsid w:val="000879C1"/>
    <w:rsid w:val="00087B18"/>
    <w:rsid w:val="000A4BE9"/>
    <w:rsid w:val="000B1522"/>
    <w:rsid w:val="000B6ED8"/>
    <w:rsid w:val="000B78FC"/>
    <w:rsid w:val="000C0591"/>
    <w:rsid w:val="000C42F3"/>
    <w:rsid w:val="000C4DBB"/>
    <w:rsid w:val="000C644A"/>
    <w:rsid w:val="000D2C80"/>
    <w:rsid w:val="000E14A3"/>
    <w:rsid w:val="000E5833"/>
    <w:rsid w:val="000F5D4C"/>
    <w:rsid w:val="001120B0"/>
    <w:rsid w:val="00116821"/>
    <w:rsid w:val="001359FB"/>
    <w:rsid w:val="00146B6D"/>
    <w:rsid w:val="00161123"/>
    <w:rsid w:val="00161FE0"/>
    <w:rsid w:val="001646F3"/>
    <w:rsid w:val="00174AB2"/>
    <w:rsid w:val="0019223A"/>
    <w:rsid w:val="0019438A"/>
    <w:rsid w:val="001A2ED5"/>
    <w:rsid w:val="001A6907"/>
    <w:rsid w:val="001B2E2D"/>
    <w:rsid w:val="001C785D"/>
    <w:rsid w:val="001F3D5F"/>
    <w:rsid w:val="001F44F0"/>
    <w:rsid w:val="001F601F"/>
    <w:rsid w:val="0020043D"/>
    <w:rsid w:val="002110C2"/>
    <w:rsid w:val="0021610B"/>
    <w:rsid w:val="00217D03"/>
    <w:rsid w:val="00237EE7"/>
    <w:rsid w:val="00242C92"/>
    <w:rsid w:val="00245BFB"/>
    <w:rsid w:val="0025796C"/>
    <w:rsid w:val="00270437"/>
    <w:rsid w:val="002708D6"/>
    <w:rsid w:val="002A519A"/>
    <w:rsid w:val="002B7EC6"/>
    <w:rsid w:val="002C6CC6"/>
    <w:rsid w:val="002F73CE"/>
    <w:rsid w:val="00310A3F"/>
    <w:rsid w:val="0031279B"/>
    <w:rsid w:val="003151AA"/>
    <w:rsid w:val="0034043B"/>
    <w:rsid w:val="003422A4"/>
    <w:rsid w:val="00346418"/>
    <w:rsid w:val="00346FDC"/>
    <w:rsid w:val="00354775"/>
    <w:rsid w:val="003628EC"/>
    <w:rsid w:val="00370845"/>
    <w:rsid w:val="00373C04"/>
    <w:rsid w:val="00383A3E"/>
    <w:rsid w:val="00385C47"/>
    <w:rsid w:val="00385C89"/>
    <w:rsid w:val="003979F1"/>
    <w:rsid w:val="003A7D92"/>
    <w:rsid w:val="003B07FA"/>
    <w:rsid w:val="003B410B"/>
    <w:rsid w:val="003B533B"/>
    <w:rsid w:val="003E5DB2"/>
    <w:rsid w:val="003E7DC2"/>
    <w:rsid w:val="003F4F6D"/>
    <w:rsid w:val="003F50CC"/>
    <w:rsid w:val="003F699A"/>
    <w:rsid w:val="00400DB2"/>
    <w:rsid w:val="00400DB7"/>
    <w:rsid w:val="00416150"/>
    <w:rsid w:val="00416D22"/>
    <w:rsid w:val="0043099B"/>
    <w:rsid w:val="00437C37"/>
    <w:rsid w:val="00441926"/>
    <w:rsid w:val="0044499D"/>
    <w:rsid w:val="00450137"/>
    <w:rsid w:val="00450F2B"/>
    <w:rsid w:val="004675AE"/>
    <w:rsid w:val="00474B4E"/>
    <w:rsid w:val="00485A34"/>
    <w:rsid w:val="004903DF"/>
    <w:rsid w:val="004A0839"/>
    <w:rsid w:val="004A30A4"/>
    <w:rsid w:val="004A3A49"/>
    <w:rsid w:val="004B3D9E"/>
    <w:rsid w:val="004C6B4F"/>
    <w:rsid w:val="004C7511"/>
    <w:rsid w:val="004D0E2D"/>
    <w:rsid w:val="004D67EA"/>
    <w:rsid w:val="004E02F7"/>
    <w:rsid w:val="004F0D71"/>
    <w:rsid w:val="004F2D26"/>
    <w:rsid w:val="004F3C55"/>
    <w:rsid w:val="00501C5C"/>
    <w:rsid w:val="005071DA"/>
    <w:rsid w:val="0051598B"/>
    <w:rsid w:val="00523576"/>
    <w:rsid w:val="00537AD0"/>
    <w:rsid w:val="00544D39"/>
    <w:rsid w:val="005476C7"/>
    <w:rsid w:val="005523D6"/>
    <w:rsid w:val="00553CD3"/>
    <w:rsid w:val="0056177F"/>
    <w:rsid w:val="0057076A"/>
    <w:rsid w:val="005766F0"/>
    <w:rsid w:val="00592C0F"/>
    <w:rsid w:val="005A5AF9"/>
    <w:rsid w:val="005B5367"/>
    <w:rsid w:val="005B5CD9"/>
    <w:rsid w:val="005E4452"/>
    <w:rsid w:val="005F04E5"/>
    <w:rsid w:val="00611233"/>
    <w:rsid w:val="00611A87"/>
    <w:rsid w:val="00624065"/>
    <w:rsid w:val="00633A54"/>
    <w:rsid w:val="00670A33"/>
    <w:rsid w:val="00677C8F"/>
    <w:rsid w:val="00685241"/>
    <w:rsid w:val="006A42AE"/>
    <w:rsid w:val="006B0756"/>
    <w:rsid w:val="006E1E2E"/>
    <w:rsid w:val="006E3156"/>
    <w:rsid w:val="006E5B32"/>
    <w:rsid w:val="006F139B"/>
    <w:rsid w:val="006F362A"/>
    <w:rsid w:val="006F473E"/>
    <w:rsid w:val="007012B7"/>
    <w:rsid w:val="00720194"/>
    <w:rsid w:val="00724899"/>
    <w:rsid w:val="00750DE3"/>
    <w:rsid w:val="007609BE"/>
    <w:rsid w:val="00781742"/>
    <w:rsid w:val="0078660B"/>
    <w:rsid w:val="00790CBA"/>
    <w:rsid w:val="007936C9"/>
    <w:rsid w:val="007946D0"/>
    <w:rsid w:val="007B14ED"/>
    <w:rsid w:val="007B3716"/>
    <w:rsid w:val="007C522B"/>
    <w:rsid w:val="007D1D84"/>
    <w:rsid w:val="007D619B"/>
    <w:rsid w:val="007E40C5"/>
    <w:rsid w:val="007F6DEF"/>
    <w:rsid w:val="00801C5E"/>
    <w:rsid w:val="00802465"/>
    <w:rsid w:val="00803FFA"/>
    <w:rsid w:val="00805D7F"/>
    <w:rsid w:val="00820D20"/>
    <w:rsid w:val="00865054"/>
    <w:rsid w:val="0087637D"/>
    <w:rsid w:val="008A5DD8"/>
    <w:rsid w:val="008A680F"/>
    <w:rsid w:val="008C7E79"/>
    <w:rsid w:val="008E0EC2"/>
    <w:rsid w:val="008E18FF"/>
    <w:rsid w:val="008E7D77"/>
    <w:rsid w:val="00904454"/>
    <w:rsid w:val="0092030C"/>
    <w:rsid w:val="00932D14"/>
    <w:rsid w:val="00933C98"/>
    <w:rsid w:val="00947E4B"/>
    <w:rsid w:val="00950360"/>
    <w:rsid w:val="0095289A"/>
    <w:rsid w:val="0096250D"/>
    <w:rsid w:val="0097783D"/>
    <w:rsid w:val="00977F76"/>
    <w:rsid w:val="0098083F"/>
    <w:rsid w:val="009A2720"/>
    <w:rsid w:val="009A44F0"/>
    <w:rsid w:val="009B1824"/>
    <w:rsid w:val="009B59FC"/>
    <w:rsid w:val="009C018E"/>
    <w:rsid w:val="009C29B0"/>
    <w:rsid w:val="009C7855"/>
    <w:rsid w:val="009D44F9"/>
    <w:rsid w:val="009E5721"/>
    <w:rsid w:val="009F4004"/>
    <w:rsid w:val="00A07059"/>
    <w:rsid w:val="00A16571"/>
    <w:rsid w:val="00A277D2"/>
    <w:rsid w:val="00A37899"/>
    <w:rsid w:val="00A7494A"/>
    <w:rsid w:val="00A77F7F"/>
    <w:rsid w:val="00A91464"/>
    <w:rsid w:val="00A926E2"/>
    <w:rsid w:val="00A9596D"/>
    <w:rsid w:val="00A96FF8"/>
    <w:rsid w:val="00AA1D23"/>
    <w:rsid w:val="00AA4CCF"/>
    <w:rsid w:val="00AC2343"/>
    <w:rsid w:val="00AD0333"/>
    <w:rsid w:val="00AD2C30"/>
    <w:rsid w:val="00AF2DA3"/>
    <w:rsid w:val="00B03F06"/>
    <w:rsid w:val="00B04F87"/>
    <w:rsid w:val="00B138AC"/>
    <w:rsid w:val="00B153FB"/>
    <w:rsid w:val="00B162F7"/>
    <w:rsid w:val="00B22D69"/>
    <w:rsid w:val="00B2588C"/>
    <w:rsid w:val="00B33FE8"/>
    <w:rsid w:val="00B34824"/>
    <w:rsid w:val="00B40A0A"/>
    <w:rsid w:val="00B43FA9"/>
    <w:rsid w:val="00B45821"/>
    <w:rsid w:val="00B55349"/>
    <w:rsid w:val="00B603FA"/>
    <w:rsid w:val="00B61EC7"/>
    <w:rsid w:val="00B701C4"/>
    <w:rsid w:val="00BA0A8B"/>
    <w:rsid w:val="00BA261F"/>
    <w:rsid w:val="00BB0B1F"/>
    <w:rsid w:val="00BB47E5"/>
    <w:rsid w:val="00BB63A9"/>
    <w:rsid w:val="00BC38BA"/>
    <w:rsid w:val="00BD5C80"/>
    <w:rsid w:val="00BE4AC8"/>
    <w:rsid w:val="00BF2B97"/>
    <w:rsid w:val="00C072A0"/>
    <w:rsid w:val="00C112B6"/>
    <w:rsid w:val="00C22057"/>
    <w:rsid w:val="00C3746D"/>
    <w:rsid w:val="00C5546A"/>
    <w:rsid w:val="00C62170"/>
    <w:rsid w:val="00C8529C"/>
    <w:rsid w:val="00C938FC"/>
    <w:rsid w:val="00C96E93"/>
    <w:rsid w:val="00CA2E82"/>
    <w:rsid w:val="00CA747E"/>
    <w:rsid w:val="00CC7115"/>
    <w:rsid w:val="00CD6F01"/>
    <w:rsid w:val="00CF1AFB"/>
    <w:rsid w:val="00CF30B1"/>
    <w:rsid w:val="00D00024"/>
    <w:rsid w:val="00D126B4"/>
    <w:rsid w:val="00D22FA1"/>
    <w:rsid w:val="00D24F9B"/>
    <w:rsid w:val="00D320A4"/>
    <w:rsid w:val="00D364AD"/>
    <w:rsid w:val="00D46B2D"/>
    <w:rsid w:val="00D752D6"/>
    <w:rsid w:val="00D769A4"/>
    <w:rsid w:val="00DA3592"/>
    <w:rsid w:val="00DA608A"/>
    <w:rsid w:val="00DA75FC"/>
    <w:rsid w:val="00DB1501"/>
    <w:rsid w:val="00DC2B94"/>
    <w:rsid w:val="00E12638"/>
    <w:rsid w:val="00E679D7"/>
    <w:rsid w:val="00E71620"/>
    <w:rsid w:val="00E805A6"/>
    <w:rsid w:val="00E808B4"/>
    <w:rsid w:val="00EA1197"/>
    <w:rsid w:val="00EA1E6C"/>
    <w:rsid w:val="00EC4EC5"/>
    <w:rsid w:val="00EC61D4"/>
    <w:rsid w:val="00ED75F3"/>
    <w:rsid w:val="00ED7722"/>
    <w:rsid w:val="00EE1A6D"/>
    <w:rsid w:val="00EE4C00"/>
    <w:rsid w:val="00EE57BF"/>
    <w:rsid w:val="00EF10AF"/>
    <w:rsid w:val="00EF12B9"/>
    <w:rsid w:val="00EF2846"/>
    <w:rsid w:val="00EF7812"/>
    <w:rsid w:val="00F06B53"/>
    <w:rsid w:val="00F173AD"/>
    <w:rsid w:val="00F23D95"/>
    <w:rsid w:val="00F419F4"/>
    <w:rsid w:val="00F67072"/>
    <w:rsid w:val="00F67753"/>
    <w:rsid w:val="00F92973"/>
    <w:rsid w:val="00F93377"/>
    <w:rsid w:val="00F94855"/>
    <w:rsid w:val="00F97EA6"/>
    <w:rsid w:val="00F97EB6"/>
    <w:rsid w:val="00FB0F4C"/>
    <w:rsid w:val="00FC6A1C"/>
    <w:rsid w:val="00FC6E33"/>
    <w:rsid w:val="00FD096B"/>
    <w:rsid w:val="00FD1CF9"/>
    <w:rsid w:val="00FD5BE6"/>
    <w:rsid w:val="00FD70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colormru v:ext="edit" colors="#ededed,#fffb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link w:val="30"/>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pacing w:val="220"/>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character" w:customStyle="1" w:styleId="30">
    <w:name w:val="標題 3 字元"/>
    <w:link w:val="3"/>
    <w:locked/>
    <w:rsid w:val="000E5833"/>
    <w:rPr>
      <w:b/>
      <w:bCs/>
      <w:kern w:val="2"/>
      <w:sz w:val="28"/>
      <w:szCs w:val="24"/>
      <w:u w:val="single"/>
    </w:rPr>
  </w:style>
  <w:style w:type="paragraph" w:customStyle="1" w:styleId="10">
    <w:name w:val="(1)"/>
    <w:aliases w:val="標題5 字元 字元 字元 字元,標題5 字元 字元,(1) 字元 字元 字元 字元 字元 字元,(1) 字元 字元,標題5 字元 字元 字元 字元 字元,標題5"/>
    <w:basedOn w:val="a"/>
    <w:link w:val="11"/>
    <w:uiPriority w:val="99"/>
    <w:rsid w:val="000E5833"/>
    <w:pPr>
      <w:widowControl/>
      <w:ind w:leftChars="600" w:left="1711" w:hangingChars="100" w:hanging="244"/>
      <w:jc w:val="both"/>
    </w:pPr>
    <w:rPr>
      <w:rFonts w:eastAsia="標楷體"/>
      <w:lang w:eastAsia="en-US"/>
    </w:rPr>
  </w:style>
  <w:style w:type="character" w:customStyle="1" w:styleId="11">
    <w:name w:val="(1) 字元1"/>
    <w:link w:val="10"/>
    <w:uiPriority w:val="99"/>
    <w:locked/>
    <w:rsid w:val="000E5833"/>
    <w:rPr>
      <w:rFonts w:eastAsia="標楷體"/>
      <w:kern w:val="2"/>
      <w:sz w:val="24"/>
      <w:szCs w:val="24"/>
      <w:lang w:eastAsia="en-US"/>
    </w:rPr>
  </w:style>
  <w:style w:type="paragraph" w:customStyle="1" w:styleId="af1">
    <w:name w:val="(一)"/>
    <w:basedOn w:val="a"/>
    <w:rsid w:val="00F419F4"/>
    <w:pPr>
      <w:ind w:leftChars="225" w:left="936" w:hangingChars="165" w:hanging="396"/>
      <w:jc w:val="both"/>
    </w:pPr>
    <w:rPr>
      <w:rFonts w:eastAsia="標楷體"/>
      <w:color w:val="000000"/>
    </w:rPr>
  </w:style>
  <w:style w:type="paragraph" w:customStyle="1" w:styleId="af2">
    <w:name w:val="一．內"/>
    <w:basedOn w:val="a"/>
    <w:rsid w:val="002A519A"/>
    <w:pPr>
      <w:widowControl/>
      <w:adjustRightInd w:val="0"/>
      <w:spacing w:before="40" w:after="40" w:line="400" w:lineRule="atLeast"/>
      <w:ind w:left="522" w:firstLine="533"/>
      <w:jc w:val="both"/>
      <w:textAlignment w:val="baseline"/>
    </w:pPr>
    <w:rPr>
      <w:kern w:val="0"/>
      <w:sz w:val="26"/>
      <w:szCs w:val="20"/>
    </w:rPr>
  </w:style>
  <w:style w:type="character" w:customStyle="1" w:styleId="12">
    <w:name w:val="(1) 字元"/>
    <w:aliases w:val="標題5 字元"/>
    <w:rsid w:val="002A519A"/>
    <w:rPr>
      <w:rFonts w:eastAsia="標楷體"/>
      <w:kern w:val="2"/>
      <w:sz w:val="24"/>
      <w:szCs w:val="24"/>
    </w:rPr>
  </w:style>
  <w:style w:type="character" w:styleId="af3">
    <w:name w:val="annotation reference"/>
    <w:uiPriority w:val="99"/>
    <w:semiHidden/>
    <w:unhideWhenUsed/>
    <w:rsid w:val="00B22D69"/>
    <w:rPr>
      <w:sz w:val="18"/>
      <w:szCs w:val="18"/>
    </w:rPr>
  </w:style>
  <w:style w:type="paragraph" w:styleId="af4">
    <w:name w:val="annotation text"/>
    <w:basedOn w:val="a"/>
    <w:link w:val="af5"/>
    <w:uiPriority w:val="99"/>
    <w:semiHidden/>
    <w:unhideWhenUsed/>
    <w:rsid w:val="00B22D69"/>
  </w:style>
  <w:style w:type="character" w:customStyle="1" w:styleId="af5">
    <w:name w:val="註解文字 字元"/>
    <w:link w:val="af4"/>
    <w:uiPriority w:val="99"/>
    <w:semiHidden/>
    <w:rsid w:val="00B22D69"/>
    <w:rPr>
      <w:kern w:val="2"/>
      <w:sz w:val="24"/>
      <w:szCs w:val="24"/>
    </w:rPr>
  </w:style>
  <w:style w:type="paragraph" w:styleId="af6">
    <w:name w:val="annotation subject"/>
    <w:basedOn w:val="af4"/>
    <w:next w:val="af4"/>
    <w:link w:val="af7"/>
    <w:uiPriority w:val="99"/>
    <w:semiHidden/>
    <w:unhideWhenUsed/>
    <w:rsid w:val="00B22D69"/>
    <w:rPr>
      <w:b/>
      <w:bCs/>
    </w:rPr>
  </w:style>
  <w:style w:type="character" w:customStyle="1" w:styleId="af7">
    <w:name w:val="註解主旨 字元"/>
    <w:link w:val="af6"/>
    <w:uiPriority w:val="99"/>
    <w:semiHidden/>
    <w:rsid w:val="00B22D69"/>
    <w:rPr>
      <w:b/>
      <w:bCs/>
      <w:kern w:val="2"/>
      <w:sz w:val="24"/>
      <w:szCs w:val="24"/>
    </w:rPr>
  </w:style>
  <w:style w:type="paragraph" w:styleId="af8">
    <w:name w:val="List Paragraph"/>
    <w:basedOn w:val="a"/>
    <w:uiPriority w:val="34"/>
    <w:qFormat/>
    <w:rsid w:val="0005586B"/>
    <w:pPr>
      <w:widowControl/>
      <w:ind w:leftChars="200" w:left="480"/>
    </w:pPr>
    <w:rPr>
      <w:rFonts w:ascii="新細明體" w:hAnsi="新細明體" w:cs="新細明體"/>
      <w:kern w:val="0"/>
    </w:rPr>
  </w:style>
  <w:style w:type="character" w:customStyle="1" w:styleId="fontsize141">
    <w:name w:val="fontsize141"/>
    <w:basedOn w:val="a0"/>
    <w:rsid w:val="003151AA"/>
    <w:rPr>
      <w:rFonts w:ascii="Verdana" w:hAnsi="Verdana" w:hint="default"/>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link w:val="30"/>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pacing w:val="220"/>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character" w:customStyle="1" w:styleId="30">
    <w:name w:val="標題 3 字元"/>
    <w:link w:val="3"/>
    <w:locked/>
    <w:rsid w:val="000E5833"/>
    <w:rPr>
      <w:b/>
      <w:bCs/>
      <w:kern w:val="2"/>
      <w:sz w:val="28"/>
      <w:szCs w:val="24"/>
      <w:u w:val="single"/>
    </w:rPr>
  </w:style>
  <w:style w:type="paragraph" w:customStyle="1" w:styleId="10">
    <w:name w:val="(1)"/>
    <w:aliases w:val="標題5 字元 字元 字元 字元,標題5 字元 字元,(1) 字元 字元 字元 字元 字元 字元,(1) 字元 字元,標題5 字元 字元 字元 字元 字元,標題5"/>
    <w:basedOn w:val="a"/>
    <w:link w:val="11"/>
    <w:uiPriority w:val="99"/>
    <w:rsid w:val="000E5833"/>
    <w:pPr>
      <w:widowControl/>
      <w:ind w:leftChars="600" w:left="1711" w:hangingChars="100" w:hanging="244"/>
      <w:jc w:val="both"/>
    </w:pPr>
    <w:rPr>
      <w:rFonts w:eastAsia="標楷體"/>
      <w:lang w:eastAsia="en-US"/>
    </w:rPr>
  </w:style>
  <w:style w:type="character" w:customStyle="1" w:styleId="11">
    <w:name w:val="(1) 字元1"/>
    <w:link w:val="10"/>
    <w:uiPriority w:val="99"/>
    <w:locked/>
    <w:rsid w:val="000E5833"/>
    <w:rPr>
      <w:rFonts w:eastAsia="標楷體"/>
      <w:kern w:val="2"/>
      <w:sz w:val="24"/>
      <w:szCs w:val="24"/>
      <w:lang w:eastAsia="en-US"/>
    </w:rPr>
  </w:style>
  <w:style w:type="paragraph" w:customStyle="1" w:styleId="af1">
    <w:name w:val="(一)"/>
    <w:basedOn w:val="a"/>
    <w:rsid w:val="00F419F4"/>
    <w:pPr>
      <w:ind w:leftChars="225" w:left="936" w:hangingChars="165" w:hanging="396"/>
      <w:jc w:val="both"/>
    </w:pPr>
    <w:rPr>
      <w:rFonts w:eastAsia="標楷體"/>
      <w:color w:val="000000"/>
    </w:rPr>
  </w:style>
  <w:style w:type="paragraph" w:customStyle="1" w:styleId="af2">
    <w:name w:val="一．內"/>
    <w:basedOn w:val="a"/>
    <w:rsid w:val="002A519A"/>
    <w:pPr>
      <w:widowControl/>
      <w:adjustRightInd w:val="0"/>
      <w:spacing w:before="40" w:after="40" w:line="400" w:lineRule="atLeast"/>
      <w:ind w:left="522" w:firstLine="533"/>
      <w:jc w:val="both"/>
      <w:textAlignment w:val="baseline"/>
    </w:pPr>
    <w:rPr>
      <w:kern w:val="0"/>
      <w:sz w:val="26"/>
      <w:szCs w:val="20"/>
    </w:rPr>
  </w:style>
  <w:style w:type="character" w:customStyle="1" w:styleId="12">
    <w:name w:val="(1) 字元"/>
    <w:aliases w:val="標題5 字元"/>
    <w:rsid w:val="002A519A"/>
    <w:rPr>
      <w:rFonts w:eastAsia="標楷體"/>
      <w:kern w:val="2"/>
      <w:sz w:val="24"/>
      <w:szCs w:val="24"/>
    </w:rPr>
  </w:style>
  <w:style w:type="character" w:styleId="af3">
    <w:name w:val="annotation reference"/>
    <w:uiPriority w:val="99"/>
    <w:semiHidden/>
    <w:unhideWhenUsed/>
    <w:rsid w:val="00B22D69"/>
    <w:rPr>
      <w:sz w:val="18"/>
      <w:szCs w:val="18"/>
    </w:rPr>
  </w:style>
  <w:style w:type="paragraph" w:styleId="af4">
    <w:name w:val="annotation text"/>
    <w:basedOn w:val="a"/>
    <w:link w:val="af5"/>
    <w:uiPriority w:val="99"/>
    <w:semiHidden/>
    <w:unhideWhenUsed/>
    <w:rsid w:val="00B22D69"/>
  </w:style>
  <w:style w:type="character" w:customStyle="1" w:styleId="af5">
    <w:name w:val="註解文字 字元"/>
    <w:link w:val="af4"/>
    <w:uiPriority w:val="99"/>
    <w:semiHidden/>
    <w:rsid w:val="00B22D69"/>
    <w:rPr>
      <w:kern w:val="2"/>
      <w:sz w:val="24"/>
      <w:szCs w:val="24"/>
    </w:rPr>
  </w:style>
  <w:style w:type="paragraph" w:styleId="af6">
    <w:name w:val="annotation subject"/>
    <w:basedOn w:val="af4"/>
    <w:next w:val="af4"/>
    <w:link w:val="af7"/>
    <w:uiPriority w:val="99"/>
    <w:semiHidden/>
    <w:unhideWhenUsed/>
    <w:rsid w:val="00B22D69"/>
    <w:rPr>
      <w:b/>
      <w:bCs/>
    </w:rPr>
  </w:style>
  <w:style w:type="character" w:customStyle="1" w:styleId="af7">
    <w:name w:val="註解主旨 字元"/>
    <w:link w:val="af6"/>
    <w:uiPriority w:val="99"/>
    <w:semiHidden/>
    <w:rsid w:val="00B22D69"/>
    <w:rPr>
      <w:b/>
      <w:bCs/>
      <w:kern w:val="2"/>
      <w:sz w:val="24"/>
      <w:szCs w:val="24"/>
    </w:rPr>
  </w:style>
  <w:style w:type="paragraph" w:styleId="af8">
    <w:name w:val="List Paragraph"/>
    <w:basedOn w:val="a"/>
    <w:uiPriority w:val="34"/>
    <w:qFormat/>
    <w:rsid w:val="0005586B"/>
    <w:pPr>
      <w:widowControl/>
      <w:ind w:leftChars="200" w:left="480"/>
    </w:pPr>
    <w:rPr>
      <w:rFonts w:ascii="新細明體" w:hAnsi="新細明體" w:cs="新細明體"/>
      <w:kern w:val="0"/>
    </w:rPr>
  </w:style>
  <w:style w:type="character" w:customStyle="1" w:styleId="fontsize141">
    <w:name w:val="fontsize141"/>
    <w:basedOn w:val="a0"/>
    <w:rsid w:val="003151AA"/>
    <w:rPr>
      <w:rFonts w:ascii="Verdana" w:hAnsi="Verdana"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0963">
      <w:bodyDiv w:val="1"/>
      <w:marLeft w:val="0"/>
      <w:marRight w:val="0"/>
      <w:marTop w:val="0"/>
      <w:marBottom w:val="0"/>
      <w:divBdr>
        <w:top w:val="none" w:sz="0" w:space="0" w:color="auto"/>
        <w:left w:val="none" w:sz="0" w:space="0" w:color="auto"/>
        <w:bottom w:val="none" w:sz="0" w:space="0" w:color="auto"/>
        <w:right w:val="none" w:sz="0" w:space="0" w:color="auto"/>
      </w:divBdr>
    </w:div>
    <w:div w:id="484470525">
      <w:bodyDiv w:val="1"/>
      <w:marLeft w:val="0"/>
      <w:marRight w:val="0"/>
      <w:marTop w:val="0"/>
      <w:marBottom w:val="0"/>
      <w:divBdr>
        <w:top w:val="none" w:sz="0" w:space="0" w:color="auto"/>
        <w:left w:val="none" w:sz="0" w:space="0" w:color="auto"/>
        <w:bottom w:val="none" w:sz="0" w:space="0" w:color="auto"/>
        <w:right w:val="none" w:sz="0" w:space="0" w:color="auto"/>
      </w:divBdr>
    </w:div>
    <w:div w:id="1046442987">
      <w:bodyDiv w:val="1"/>
      <w:marLeft w:val="0"/>
      <w:marRight w:val="0"/>
      <w:marTop w:val="0"/>
      <w:marBottom w:val="0"/>
      <w:divBdr>
        <w:top w:val="none" w:sz="0" w:space="0" w:color="auto"/>
        <w:left w:val="none" w:sz="0" w:space="0" w:color="auto"/>
        <w:bottom w:val="none" w:sz="0" w:space="0" w:color="auto"/>
        <w:right w:val="none" w:sz="0" w:space="0" w:color="auto"/>
      </w:divBdr>
    </w:div>
    <w:div w:id="1149788481">
      <w:bodyDiv w:val="1"/>
      <w:marLeft w:val="0"/>
      <w:marRight w:val="0"/>
      <w:marTop w:val="0"/>
      <w:marBottom w:val="0"/>
      <w:divBdr>
        <w:top w:val="none" w:sz="0" w:space="0" w:color="auto"/>
        <w:left w:val="none" w:sz="0" w:space="0" w:color="auto"/>
        <w:bottom w:val="none" w:sz="0" w:space="0" w:color="auto"/>
        <w:right w:val="none" w:sz="0" w:space="0" w:color="auto"/>
      </w:divBdr>
    </w:div>
    <w:div w:id="1261644619">
      <w:bodyDiv w:val="1"/>
      <w:marLeft w:val="0"/>
      <w:marRight w:val="0"/>
      <w:marTop w:val="0"/>
      <w:marBottom w:val="0"/>
      <w:divBdr>
        <w:top w:val="none" w:sz="0" w:space="0" w:color="auto"/>
        <w:left w:val="none" w:sz="0" w:space="0" w:color="auto"/>
        <w:bottom w:val="none" w:sz="0" w:space="0" w:color="auto"/>
        <w:right w:val="none" w:sz="0" w:space="0" w:color="auto"/>
      </w:divBdr>
    </w:div>
    <w:div w:id="1269460483">
      <w:bodyDiv w:val="1"/>
      <w:marLeft w:val="0"/>
      <w:marRight w:val="0"/>
      <w:marTop w:val="0"/>
      <w:marBottom w:val="0"/>
      <w:divBdr>
        <w:top w:val="none" w:sz="0" w:space="0" w:color="auto"/>
        <w:left w:val="none" w:sz="0" w:space="0" w:color="auto"/>
        <w:bottom w:val="none" w:sz="0" w:space="0" w:color="auto"/>
        <w:right w:val="none" w:sz="0" w:space="0" w:color="auto"/>
      </w:divBdr>
    </w:div>
    <w:div w:id="151441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wmops.tse.com.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31532;&#19968;&#38913;"/></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DDC6-12E0-43BA-ADB1-466AEECC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Pages>
  <Words>1111</Words>
  <Characters>6334</Characters>
  <Application>Microsoft Office Word</Application>
  <DocSecurity>0</DocSecurity>
  <Lines>52</Lines>
  <Paragraphs>14</Paragraphs>
  <ScaleCrop>false</ScaleCrop>
  <Company>abc</Company>
  <LinksUpToDate>false</LinksUpToDate>
  <CharactersWithSpaces>7431</CharactersWithSpaces>
  <SharedDoc>false</SharedDoc>
  <HLinks>
    <vt:vector size="42" baseType="variant">
      <vt:variant>
        <vt:i4>6946868</vt:i4>
      </vt:variant>
      <vt:variant>
        <vt:i4>18</vt:i4>
      </vt:variant>
      <vt:variant>
        <vt:i4>0</vt:i4>
      </vt:variant>
      <vt:variant>
        <vt:i4>5</vt:i4>
      </vt:variant>
      <vt:variant>
        <vt:lpwstr>http://newmops.tse.com.tw/</vt:lpwstr>
      </vt:variant>
      <vt:variant>
        <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cp:lastModifiedBy>Yellow</cp:lastModifiedBy>
  <cp:revision>61</cp:revision>
  <cp:lastPrinted>2011-08-04T07:44:00Z</cp:lastPrinted>
  <dcterms:created xsi:type="dcterms:W3CDTF">2015-06-23T03:06:00Z</dcterms:created>
  <dcterms:modified xsi:type="dcterms:W3CDTF">2015-08-19T08:30:00Z</dcterms:modified>
</cp:coreProperties>
</file>