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1123" w:rsidRDefault="006C0247">
      <w:pPr>
        <w:pStyle w:val="a7"/>
        <w:rPr>
          <w:rFonts w:ascii="新細明體" w:hAnsi="新細明體"/>
          <w:color w:val="FF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161925</wp:posOffset>
                </wp:positionV>
                <wp:extent cx="2009140" cy="373380"/>
                <wp:effectExtent l="10160" t="9525" r="9525" b="762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5FC" w:rsidRPr="00DA75FC" w:rsidRDefault="00DA75FC" w:rsidP="00DA75F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DA75FC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公司概況資料表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2.05pt;margin-top:12.75pt;width:158.2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">
                <v:textbox>
                  <w:txbxContent>
                    <w:p w:rsidR="00DA75FC" w:rsidRPr="00DA75FC" w:rsidRDefault="00DA75FC" w:rsidP="00DA75F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DA75FC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公司概況資料表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 w:hint="eastAsia"/>
          <w:noProof/>
          <w:color w:val="FF6600"/>
        </w:rPr>
        <w:drawing>
          <wp:inline distT="0" distB="0" distL="0" distR="0">
            <wp:extent cx="6124575" cy="704850"/>
            <wp:effectExtent l="0" t="0" r="9525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23" w:rsidRPr="00734F9A" w:rsidRDefault="00161123">
      <w:pPr>
        <w:rPr>
          <w:rFonts w:eastAsia="標楷體"/>
          <w:b/>
          <w:bCs/>
          <w:color w:val="0000FF"/>
          <w:szCs w:val="20"/>
        </w:rPr>
      </w:pPr>
      <w:r w:rsidRPr="00734F9A">
        <w:rPr>
          <w:rFonts w:eastAsia="標楷體"/>
          <w:b/>
          <w:bCs/>
          <w:color w:val="0000FF"/>
          <w:szCs w:val="20"/>
        </w:rPr>
        <w:t>以</w:t>
      </w:r>
      <w:r w:rsidRPr="00734F9A">
        <w:rPr>
          <w:rFonts w:eastAsia="標楷體" w:hint="eastAsia"/>
          <w:b/>
          <w:bCs/>
          <w:color w:val="0000FF"/>
          <w:szCs w:val="20"/>
        </w:rPr>
        <w:t>下</w:t>
      </w:r>
      <w:r w:rsidRPr="00734F9A">
        <w:rPr>
          <w:rFonts w:eastAsia="標楷體"/>
          <w:b/>
          <w:bCs/>
          <w:color w:val="0000FF"/>
          <w:szCs w:val="20"/>
        </w:rPr>
        <w:t>資料由</w:t>
      </w:r>
      <w:r w:rsidR="00734F9A">
        <w:rPr>
          <w:rFonts w:eastAsia="標楷體" w:hint="eastAsia"/>
          <w:b/>
          <w:bCs/>
          <w:color w:val="0000FF"/>
          <w:szCs w:val="20"/>
        </w:rPr>
        <w:t>霹靂國際多媒體</w:t>
      </w:r>
      <w:r w:rsidR="00E015D1">
        <w:rPr>
          <w:rFonts w:eastAsia="標楷體" w:hint="eastAsia"/>
          <w:b/>
          <w:bCs/>
          <w:color w:val="0000FF"/>
          <w:szCs w:val="20"/>
        </w:rPr>
        <w:t>股份有限</w:t>
      </w:r>
      <w:r w:rsidRPr="00734F9A">
        <w:rPr>
          <w:rFonts w:eastAsia="標楷體"/>
          <w:b/>
          <w:bCs/>
          <w:color w:val="0000FF"/>
          <w:szCs w:val="20"/>
        </w:rPr>
        <w:t>公司</w:t>
      </w:r>
      <w:r w:rsidR="00BF2B97" w:rsidRPr="00734F9A">
        <w:rPr>
          <w:rFonts w:eastAsia="標楷體" w:hint="eastAsi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 w:rsidR="00A277D2" w:rsidRPr="00734F9A">
        <w:rPr>
          <w:rFonts w:eastAsia="標楷體" w:hint="eastAsia"/>
          <w:b/>
          <w:bCs/>
          <w:color w:val="0000FF"/>
          <w:szCs w:val="20"/>
        </w:rPr>
        <w:t>提供</w:t>
      </w:r>
      <w:r w:rsidRPr="00734F9A">
        <w:rPr>
          <w:rFonts w:eastAsia="標楷體"/>
          <w:b/>
          <w:bCs/>
          <w:color w:val="0000FF"/>
          <w:szCs w:val="20"/>
        </w:rPr>
        <w:t>，資料若有錯誤、遺漏或虛偽不實，</w:t>
      </w:r>
      <w:proofErr w:type="gramStart"/>
      <w:r w:rsidRPr="00734F9A">
        <w:rPr>
          <w:rFonts w:eastAsia="標楷體"/>
          <w:b/>
          <w:bCs/>
          <w:color w:val="0000FF"/>
          <w:szCs w:val="20"/>
        </w:rPr>
        <w:t>均由該</w:t>
      </w:r>
      <w:proofErr w:type="gramEnd"/>
      <w:r w:rsidRPr="00734F9A">
        <w:rPr>
          <w:rFonts w:eastAsia="標楷體"/>
          <w:b/>
          <w:bCs/>
          <w:color w:val="0000FF"/>
          <w:szCs w:val="20"/>
        </w:rPr>
        <w:t>公司</w:t>
      </w:r>
      <w:r w:rsidR="00BF2B97" w:rsidRPr="00734F9A">
        <w:rPr>
          <w:rFonts w:eastAsia="標楷體" w:hint="eastAsia"/>
          <w:b/>
          <w:bCs/>
          <w:color w:val="FF0000"/>
          <w:szCs w:val="20"/>
          <w:u w:val="single"/>
          <w:shd w:val="pct15" w:color="auto" w:fill="FFFFFF"/>
        </w:rPr>
        <w:t>及其推薦證券商</w:t>
      </w:r>
      <w:r w:rsidRPr="00734F9A">
        <w:rPr>
          <w:rFonts w:eastAsia="標楷體"/>
          <w:b/>
          <w:bCs/>
          <w:color w:val="0000FF"/>
          <w:szCs w:val="20"/>
        </w:rPr>
        <w:t>負責。</w:t>
      </w:r>
    </w:p>
    <w:p w:rsidR="00F97EB6" w:rsidRPr="00734F9A" w:rsidRDefault="00F97EB6">
      <w:pPr>
        <w:rPr>
          <w:rFonts w:eastAsia="標楷體"/>
          <w:b/>
          <w:bCs/>
          <w:color w:val="FF0000"/>
          <w:szCs w:val="20"/>
          <w:u w:val="single"/>
          <w:shd w:val="pct15" w:color="auto" w:fill="FFFFFF"/>
        </w:rPr>
      </w:pPr>
      <w:r w:rsidRPr="00734F9A">
        <w:rPr>
          <w:rFonts w:eastAsia="標楷體" w:hint="eastAsia"/>
          <w:b/>
          <w:bCs/>
          <w:color w:val="FF0000"/>
          <w:szCs w:val="20"/>
          <w:u w:val="single"/>
          <w:shd w:val="pct15" w:color="auto" w:fill="FFFFFF"/>
        </w:rPr>
        <w:t>以下揭露之認購價格及依據等資訊，係申請</w:t>
      </w:r>
      <w:proofErr w:type="gramStart"/>
      <w:r w:rsidRPr="00734F9A">
        <w:rPr>
          <w:rFonts w:eastAsia="標楷體" w:hint="eastAsia"/>
          <w:b/>
          <w:bCs/>
          <w:color w:val="FF0000"/>
          <w:szCs w:val="20"/>
          <w:u w:val="single"/>
          <w:shd w:val="pct15" w:color="auto" w:fill="FFFFFF"/>
        </w:rPr>
        <w:t>登錄興櫃公司</w:t>
      </w:r>
      <w:proofErr w:type="gramEnd"/>
      <w:r w:rsidRPr="00734F9A">
        <w:rPr>
          <w:rFonts w:eastAsia="標楷體" w:hint="eastAsia"/>
          <w:b/>
          <w:bCs/>
          <w:color w:val="FF0000"/>
          <w:szCs w:val="20"/>
          <w:u w:val="single"/>
          <w:shd w:val="pct15" w:color="auto" w:fill="FFFFFF"/>
        </w:rPr>
        <w:t>與其推薦證券商依認購當時綜合考量各種因素後所議定。由於興櫃公司財務業務狀況及資本市場將隨時空而變動，投資人切勿以上開資訊作為投資判斷之唯一依據，務請特別</w:t>
      </w:r>
      <w:r w:rsidR="00A277D2" w:rsidRPr="00734F9A">
        <w:rPr>
          <w:rFonts w:eastAsia="標楷體" w:hint="eastAsia"/>
          <w:b/>
          <w:bCs/>
          <w:color w:val="FF0000"/>
          <w:szCs w:val="20"/>
          <w:u w:val="single"/>
          <w:shd w:val="pct15" w:color="auto" w:fill="FFFFFF"/>
        </w:rPr>
        <w:t>注</w:t>
      </w:r>
      <w:r w:rsidRPr="00734F9A">
        <w:rPr>
          <w:rFonts w:eastAsia="標楷體" w:hint="eastAsia"/>
          <w:b/>
          <w:bCs/>
          <w:color w:val="FF0000"/>
          <w:szCs w:val="20"/>
          <w:u w:val="single"/>
          <w:shd w:val="pct15" w:color="auto" w:fill="FFFFFF"/>
        </w:rPr>
        <w:t>意</w:t>
      </w:r>
    </w:p>
    <w:p w:rsidR="00161123" w:rsidRPr="00734F9A" w:rsidRDefault="006C0247">
      <w:pPr>
        <w:tabs>
          <w:tab w:val="left" w:pos="1125"/>
        </w:tabs>
        <w:rPr>
          <w:rFonts w:eastAsia="標楷體"/>
          <w:b/>
          <w:bCs/>
          <w:color w:val="FF6600"/>
          <w:szCs w:val="20"/>
        </w:rPr>
      </w:pPr>
      <w:r>
        <w:rPr>
          <w:rFonts w:eastAsia="標楷體" w:hint="eastAsia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105525" cy="1238250"/>
                <wp:effectExtent l="0" t="4445" r="0" b="0"/>
                <wp:wrapNone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38250"/>
                        </a:xfrm>
                        <a:prstGeom prst="rect">
                          <a:avLst/>
                        </a:prstGeom>
                        <a:solidFill>
                          <a:srgbClr val="FFFB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123" w:rsidRDefault="00161123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新細明體" w:hAnsi="Times New Roman" w:cs="Times New Roman"/>
                                <w:kern w:val="2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kern w:val="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0;margin-top:13.85pt;width:480.75pt;height:97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" fillcolor="#fffbed" stroked="f">
                <v:textbox>
                  <w:txbxContent>
                    <w:p w:rsidR="00161123" w:rsidRDefault="00161123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Times New Roman" w:eastAsia="新細明體" w:hAnsi="Times New Roman" w:cs="Times New Roman"/>
                          <w:kern w:val="2"/>
                          <w:szCs w:val="20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kern w:val="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61123" w:rsidRPr="00734F9A" w:rsidRDefault="006C0247">
      <w:pPr>
        <w:rPr>
          <w:rFonts w:eastAsia="標楷體"/>
          <w:b/>
          <w:bCs/>
          <w:color w:val="FF0000"/>
          <w:szCs w:val="20"/>
          <w:shd w:val="pct15" w:color="auto" w:fill="FFFFFF"/>
        </w:rPr>
      </w:pPr>
      <w:bookmarkStart w:id="1" w:name="第一頁"/>
      <w:bookmarkEnd w:id="1"/>
      <w:r>
        <w:rPr>
          <w:rFonts w:eastAsia="標楷體"/>
          <w:noProof/>
          <w:color w:val="FF660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90" name="圖片 90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b/>
          <w:bCs/>
          <w:noProof/>
          <w:color w:val="FF6600"/>
          <w:szCs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91" name="圖片 91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734F9A">
        <w:rPr>
          <w:rFonts w:eastAsia="標楷體" w:hint="eastAsia"/>
          <w:b/>
          <w:bCs/>
          <w:color w:val="FF6600"/>
          <w:szCs w:val="20"/>
        </w:rPr>
        <w:t xml:space="preserve">   </w:t>
      </w:r>
      <w:r w:rsidR="00BF2B97" w:rsidRPr="00734F9A">
        <w:rPr>
          <w:rFonts w:eastAsia="標楷體" w:hint="eastAsia"/>
          <w:b/>
          <w:bCs/>
          <w:color w:val="FF0000"/>
          <w:szCs w:val="20"/>
          <w:u w:val="single"/>
          <w:shd w:val="pct15" w:color="auto" w:fill="FFFFFF"/>
        </w:rPr>
        <w:t>認購相關資訊</w:t>
      </w:r>
    </w:p>
    <w:p w:rsidR="00BF2B97" w:rsidRPr="00734F9A" w:rsidRDefault="006C0247">
      <w:pPr>
        <w:rPr>
          <w:rFonts w:eastAsia="標楷體"/>
          <w:b/>
          <w:bCs/>
          <w:color w:val="FF6600"/>
          <w:szCs w:val="20"/>
        </w:rPr>
      </w:pPr>
      <w:r>
        <w:rPr>
          <w:rFonts w:eastAsia="標楷體"/>
          <w:b/>
          <w:bCs/>
          <w:noProof/>
          <w:color w:val="FF660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92" name="圖片 92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734F9A">
        <w:rPr>
          <w:rFonts w:eastAsia="標楷體" w:hint="eastAsia"/>
          <w:b/>
          <w:bCs/>
          <w:color w:val="FF6600"/>
          <w:szCs w:val="20"/>
        </w:rPr>
        <w:t xml:space="preserve">   </w:t>
      </w:r>
      <w:hyperlink w:anchor="公司簡介" w:history="1">
        <w:r w:rsidR="00BF2B97" w:rsidRPr="00734F9A">
          <w:rPr>
            <w:rStyle w:val="a6"/>
            <w:rFonts w:eastAsia="標楷體" w:hint="eastAsia"/>
            <w:b/>
            <w:bCs/>
            <w:color w:val="FF6600"/>
            <w:szCs w:val="20"/>
          </w:rPr>
          <w:t>公司簡介</w:t>
        </w:r>
      </w:hyperlink>
    </w:p>
    <w:p w:rsidR="00161123" w:rsidRPr="00734F9A" w:rsidRDefault="006C0247">
      <w:pPr>
        <w:rPr>
          <w:rFonts w:eastAsia="標楷體"/>
          <w:b/>
          <w:bCs/>
          <w:color w:val="FF6600"/>
          <w:szCs w:val="20"/>
        </w:rPr>
      </w:pPr>
      <w:r>
        <w:rPr>
          <w:rFonts w:eastAsia="標楷體"/>
          <w:b/>
          <w:bCs/>
          <w:noProof/>
          <w:color w:val="FF660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127" name="圖片 127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97" w:rsidRPr="00734F9A">
        <w:rPr>
          <w:rFonts w:eastAsia="標楷體" w:hint="eastAsia"/>
          <w:b/>
          <w:bCs/>
          <w:color w:val="FF6600"/>
          <w:szCs w:val="20"/>
        </w:rPr>
        <w:t xml:space="preserve">   </w:t>
      </w:r>
      <w:hyperlink w:anchor="主要業務項目" w:history="1">
        <w:r w:rsidR="00161123" w:rsidRPr="00734F9A">
          <w:rPr>
            <w:rStyle w:val="a6"/>
            <w:rFonts w:eastAsia="標楷體" w:hint="eastAsia"/>
            <w:b/>
            <w:bCs/>
            <w:color w:val="FF6600"/>
            <w:szCs w:val="20"/>
          </w:rPr>
          <w:t>主要業務項目</w:t>
        </w:r>
      </w:hyperlink>
    </w:p>
    <w:p w:rsidR="00161123" w:rsidRPr="00734F9A" w:rsidRDefault="006C0247">
      <w:pPr>
        <w:rPr>
          <w:rFonts w:eastAsia="標楷體"/>
          <w:b/>
          <w:bCs/>
          <w:color w:val="FF6600"/>
          <w:szCs w:val="20"/>
        </w:rPr>
      </w:pPr>
      <w:r>
        <w:rPr>
          <w:rFonts w:eastAsia="標楷體"/>
          <w:b/>
          <w:bCs/>
          <w:noProof/>
          <w:color w:val="FF660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52400" cy="146050"/>
            <wp:effectExtent l="0" t="0" r="0" b="6350"/>
            <wp:wrapNone/>
            <wp:docPr id="93" name="圖片 93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734F9A">
        <w:rPr>
          <w:rFonts w:eastAsia="標楷體" w:hint="eastAsia"/>
          <w:b/>
          <w:bCs/>
          <w:color w:val="FF6600"/>
          <w:szCs w:val="20"/>
        </w:rPr>
        <w:t xml:space="preserve">   </w:t>
      </w:r>
      <w:hyperlink w:anchor="最近五年度簡明損益表及申請年度截至最近月份止之自結損益表" w:history="1">
        <w:r w:rsidR="00161123" w:rsidRPr="00734F9A">
          <w:rPr>
            <w:rStyle w:val="a6"/>
            <w:rFonts w:eastAsia="標楷體"/>
            <w:b/>
            <w:bCs/>
            <w:color w:val="FF6600"/>
            <w:szCs w:val="20"/>
          </w:rPr>
          <w:t>最近五年度簡明損益表及申請年度截至最近月份止之自結損益表</w:t>
        </w:r>
      </w:hyperlink>
    </w:p>
    <w:p w:rsidR="00161123" w:rsidRPr="00734F9A" w:rsidRDefault="006C0247">
      <w:pPr>
        <w:rPr>
          <w:rFonts w:eastAsia="標楷體"/>
          <w:b/>
          <w:bCs/>
          <w:color w:val="FF6600"/>
          <w:szCs w:val="20"/>
        </w:rPr>
      </w:pPr>
      <w:r>
        <w:rPr>
          <w:rFonts w:eastAsia="標楷體" w:hint="eastAsia"/>
          <w:b/>
          <w:bCs/>
          <w:noProof/>
          <w:color w:val="FF660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0" t="0" r="0" b="6350"/>
            <wp:wrapNone/>
            <wp:docPr id="95" name="圖片 95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734F9A">
        <w:rPr>
          <w:rFonts w:eastAsia="標楷體" w:hint="eastAsia"/>
          <w:b/>
          <w:bCs/>
          <w:color w:val="FF6600"/>
          <w:szCs w:val="20"/>
        </w:rPr>
        <w:t xml:space="preserve">   </w:t>
      </w:r>
      <w:hyperlink w:anchor="最近五年度簡明資產負債表" w:history="1">
        <w:r w:rsidR="00161123" w:rsidRPr="00734F9A">
          <w:rPr>
            <w:rStyle w:val="a6"/>
            <w:rFonts w:eastAsia="標楷體"/>
            <w:b/>
            <w:bCs/>
            <w:color w:val="FF6600"/>
            <w:szCs w:val="20"/>
          </w:rPr>
          <w:t>最近五年度簡明資產負債表</w:t>
        </w:r>
      </w:hyperlink>
    </w:p>
    <w:p w:rsidR="00161123" w:rsidRPr="00734F9A" w:rsidRDefault="006C0247">
      <w:pPr>
        <w:rPr>
          <w:rFonts w:eastAsia="標楷體"/>
          <w:b/>
          <w:bCs/>
          <w:color w:val="FF6600"/>
        </w:rPr>
      </w:pPr>
      <w:r>
        <w:rPr>
          <w:rFonts w:eastAsia="標楷體" w:hint="eastAsia"/>
          <w:b/>
          <w:bCs/>
          <w:noProof/>
          <w:color w:val="FF660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52400" cy="146050"/>
            <wp:effectExtent l="0" t="0" r="0" b="6350"/>
            <wp:wrapNone/>
            <wp:docPr id="96" name="圖片 96" descr="icon_page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con_page_tit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23" w:rsidRPr="00734F9A">
        <w:rPr>
          <w:rFonts w:eastAsia="標楷體" w:hint="eastAsia"/>
          <w:b/>
          <w:bCs/>
          <w:color w:val="FF6600"/>
          <w:szCs w:val="20"/>
        </w:rPr>
        <w:t xml:space="preserve">   </w:t>
      </w:r>
      <w:hyperlink w:anchor="最近三年度財務比率及股利發放情形" w:history="1">
        <w:r w:rsidR="00161123" w:rsidRPr="00734F9A">
          <w:rPr>
            <w:rStyle w:val="a6"/>
            <w:rFonts w:eastAsia="標楷體" w:hint="eastAsia"/>
            <w:b/>
            <w:bCs/>
            <w:color w:val="FF6600"/>
            <w:szCs w:val="20"/>
          </w:rPr>
          <w:t>最近三年度財務比率</w:t>
        </w:r>
      </w:hyperlink>
    </w:p>
    <w:p w:rsidR="00161123" w:rsidRDefault="00161123">
      <w:pPr>
        <w:rPr>
          <w:rFonts w:ascii="新細明體" w:hAnsi="新細明體"/>
          <w:b/>
          <w:bCs/>
          <w:sz w:val="20"/>
        </w:rPr>
      </w:pPr>
    </w:p>
    <w:p w:rsidR="00161123" w:rsidRPr="009D439E" w:rsidRDefault="00161123" w:rsidP="009D439E">
      <w:pPr>
        <w:rPr>
          <w:rFonts w:eastAsia="標楷體"/>
          <w:b/>
          <w:bCs/>
        </w:rPr>
      </w:pPr>
      <w:r w:rsidRPr="00734F9A">
        <w:rPr>
          <w:rFonts w:eastAsia="標楷體"/>
          <w:b/>
          <w:bCs/>
        </w:rPr>
        <w:t>公司名稱：</w:t>
      </w:r>
      <w:r w:rsidR="00734F9A" w:rsidRPr="00734F9A">
        <w:rPr>
          <w:rFonts w:eastAsia="標楷體" w:hint="eastAsia"/>
          <w:b/>
          <w:bCs/>
          <w:color w:val="FF6600"/>
        </w:rPr>
        <w:t>霹靂國際多媒體</w:t>
      </w:r>
      <w:r w:rsidRPr="00734F9A">
        <w:rPr>
          <w:rFonts w:eastAsia="標楷體" w:hint="eastAsia"/>
          <w:b/>
          <w:bCs/>
          <w:color w:val="FF6600"/>
        </w:rPr>
        <w:t>股份有限公司</w:t>
      </w:r>
      <w:r w:rsidRPr="00734F9A">
        <w:rPr>
          <w:rFonts w:eastAsia="標楷體" w:hint="eastAsia"/>
          <w:b/>
          <w:bCs/>
        </w:rPr>
        <w:t xml:space="preserve"> (</w:t>
      </w:r>
      <w:r w:rsidRPr="00734F9A">
        <w:rPr>
          <w:rFonts w:eastAsia="標楷體" w:hint="eastAsia"/>
          <w:b/>
          <w:bCs/>
        </w:rPr>
        <w:t>股票代號：</w:t>
      </w:r>
      <w:r w:rsidR="005C537E">
        <w:rPr>
          <w:rFonts w:eastAsia="標楷體" w:hint="eastAsia"/>
          <w:b/>
          <w:bCs/>
        </w:rPr>
        <w:t>8450</w:t>
      </w:r>
      <w:r w:rsidRPr="00734F9A">
        <w:rPr>
          <w:rFonts w:eastAsia="標楷體" w:hint="eastAsia"/>
          <w:b/>
          <w:bCs/>
        </w:rPr>
        <w:t>)</w:t>
      </w:r>
      <w:bookmarkStart w:id="2" w:name="基本資料"/>
      <w:bookmarkEnd w:id="2"/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29"/>
      </w:tblGrid>
      <w:tr w:rsidR="004B746E" w:rsidRPr="002843D3" w:rsidTr="004B746E">
        <w:trPr>
          <w:cantSplit/>
        </w:trPr>
        <w:tc>
          <w:tcPr>
            <w:tcW w:w="2722" w:type="dxa"/>
            <w:shd w:val="clear" w:color="auto" w:fill="F9F9F9"/>
          </w:tcPr>
          <w:p w:rsidR="004B746E" w:rsidRPr="002843D3" w:rsidRDefault="004B746E" w:rsidP="00957627">
            <w:pPr>
              <w:rPr>
                <w:rFonts w:eastAsia="標楷體"/>
              </w:rPr>
            </w:pPr>
            <w:r w:rsidRPr="002843D3">
              <w:rPr>
                <w:rFonts w:eastAsia="標楷體"/>
              </w:rPr>
              <w:t>輔導推薦證券商</w:t>
            </w:r>
          </w:p>
        </w:tc>
        <w:tc>
          <w:tcPr>
            <w:tcW w:w="7229" w:type="dxa"/>
          </w:tcPr>
          <w:p w:rsidR="004B746E" w:rsidRPr="002843D3" w:rsidRDefault="004B746E" w:rsidP="00957627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中國信託綜合證券股份有限公司</w:t>
            </w:r>
          </w:p>
        </w:tc>
      </w:tr>
      <w:tr w:rsidR="004B746E" w:rsidRPr="002843D3" w:rsidTr="004B746E">
        <w:trPr>
          <w:cantSplit/>
        </w:trPr>
        <w:tc>
          <w:tcPr>
            <w:tcW w:w="2722" w:type="dxa"/>
            <w:shd w:val="clear" w:color="auto" w:fill="F9F9F9"/>
          </w:tcPr>
          <w:p w:rsidR="004B746E" w:rsidRPr="002843D3" w:rsidRDefault="004B746E" w:rsidP="00957627">
            <w:pPr>
              <w:rPr>
                <w:rFonts w:eastAsia="標楷體"/>
                <w:szCs w:val="20"/>
              </w:rPr>
            </w:pPr>
            <w:r w:rsidRPr="002843D3">
              <w:rPr>
                <w:rFonts w:eastAsia="標楷體" w:hint="eastAsia"/>
                <w:szCs w:val="20"/>
              </w:rPr>
              <w:t>主辦輔導券商聯絡人電話</w:t>
            </w:r>
          </w:p>
        </w:tc>
        <w:tc>
          <w:tcPr>
            <w:tcW w:w="7229" w:type="dxa"/>
          </w:tcPr>
          <w:p w:rsidR="004B746E" w:rsidRPr="002843D3" w:rsidRDefault="004B746E" w:rsidP="00957627">
            <w:pPr>
              <w:spacing w:line="320" w:lineRule="exact"/>
              <w:rPr>
                <w:rFonts w:eastAsia="標楷體"/>
              </w:rPr>
            </w:pPr>
            <w:r w:rsidRPr="002843D3">
              <w:rPr>
                <w:rFonts w:eastAsia="標楷體"/>
              </w:rPr>
              <w:t>中國信託綜合證券股份有限公司</w:t>
            </w:r>
            <w:r w:rsidRPr="002843D3">
              <w:rPr>
                <w:rFonts w:eastAsia="標楷體" w:hint="eastAsia"/>
              </w:rPr>
              <w:t xml:space="preserve"> </w:t>
            </w:r>
            <w:r w:rsidR="00E015D1">
              <w:rPr>
                <w:rFonts w:eastAsia="標楷體" w:hAnsi="標楷體" w:hint="eastAsia"/>
              </w:rPr>
              <w:t>陳皇慧</w:t>
            </w:r>
            <w:r w:rsidR="00E015D1">
              <w:rPr>
                <w:rFonts w:eastAsia="標楷體" w:hAnsi="標楷體"/>
              </w:rPr>
              <w:t>/(02)8780-8867 #2</w:t>
            </w:r>
            <w:r w:rsidR="00E015D1">
              <w:rPr>
                <w:rFonts w:eastAsia="標楷體" w:hAnsi="標楷體" w:hint="eastAsia"/>
              </w:rPr>
              <w:t>230</w:t>
            </w:r>
          </w:p>
        </w:tc>
      </w:tr>
      <w:tr w:rsidR="004B746E" w:rsidRPr="002843D3" w:rsidTr="004B746E">
        <w:trPr>
          <w:cantSplit/>
        </w:trPr>
        <w:tc>
          <w:tcPr>
            <w:tcW w:w="2722" w:type="dxa"/>
            <w:shd w:val="clear" w:color="auto" w:fill="F9F9F9"/>
          </w:tcPr>
          <w:p w:rsidR="004B746E" w:rsidRPr="002843D3" w:rsidRDefault="004B746E" w:rsidP="00957627">
            <w:pPr>
              <w:rPr>
                <w:rFonts w:eastAsia="標楷體"/>
              </w:rPr>
            </w:pPr>
            <w:r w:rsidRPr="002843D3">
              <w:rPr>
                <w:rFonts w:eastAsia="標楷體"/>
              </w:rPr>
              <w:t>註冊地國</w:t>
            </w:r>
          </w:p>
        </w:tc>
        <w:tc>
          <w:tcPr>
            <w:tcW w:w="7229" w:type="dxa"/>
          </w:tcPr>
          <w:p w:rsidR="004B746E" w:rsidRPr="002843D3" w:rsidRDefault="004B746E" w:rsidP="00957627">
            <w:pPr>
              <w:rPr>
                <w:rFonts w:eastAsia="標楷體"/>
              </w:rPr>
            </w:pPr>
            <w:r w:rsidRPr="002843D3">
              <w:rPr>
                <w:rFonts w:eastAsia="標楷體"/>
              </w:rPr>
              <w:t>(</w:t>
            </w:r>
            <w:r w:rsidRPr="002843D3">
              <w:rPr>
                <w:rFonts w:eastAsia="標楷體"/>
              </w:rPr>
              <w:t>外國發行人適用</w:t>
            </w:r>
            <w:r w:rsidRPr="002843D3">
              <w:rPr>
                <w:rFonts w:eastAsia="標楷體"/>
              </w:rPr>
              <w:t>)</w:t>
            </w:r>
          </w:p>
        </w:tc>
      </w:tr>
      <w:tr w:rsidR="004B746E" w:rsidRPr="002843D3" w:rsidTr="004B746E">
        <w:trPr>
          <w:cantSplit/>
        </w:trPr>
        <w:tc>
          <w:tcPr>
            <w:tcW w:w="2722" w:type="dxa"/>
            <w:shd w:val="clear" w:color="auto" w:fill="F9F9F9"/>
          </w:tcPr>
          <w:p w:rsidR="004B746E" w:rsidRPr="002843D3" w:rsidRDefault="004B746E" w:rsidP="00957627">
            <w:pPr>
              <w:rPr>
                <w:rFonts w:eastAsia="標楷體"/>
              </w:rPr>
            </w:pPr>
            <w:r w:rsidRPr="002843D3">
              <w:rPr>
                <w:rFonts w:eastAsia="標楷體"/>
              </w:rPr>
              <w:t>訴訟及非訟代理人</w:t>
            </w:r>
          </w:p>
        </w:tc>
        <w:tc>
          <w:tcPr>
            <w:tcW w:w="7229" w:type="dxa"/>
          </w:tcPr>
          <w:p w:rsidR="004B746E" w:rsidRPr="002843D3" w:rsidRDefault="004B746E" w:rsidP="00957627">
            <w:pPr>
              <w:rPr>
                <w:rFonts w:eastAsia="標楷體"/>
              </w:rPr>
            </w:pPr>
            <w:r w:rsidRPr="002843D3">
              <w:rPr>
                <w:rFonts w:eastAsia="標楷體"/>
              </w:rPr>
              <w:t>(</w:t>
            </w:r>
            <w:r w:rsidRPr="002843D3">
              <w:rPr>
                <w:rFonts w:eastAsia="標楷體"/>
              </w:rPr>
              <w:t>外國發行人適用</w:t>
            </w:r>
            <w:r w:rsidRPr="002843D3">
              <w:rPr>
                <w:rFonts w:eastAsia="標楷體"/>
              </w:rPr>
              <w:t>)</w:t>
            </w:r>
          </w:p>
        </w:tc>
      </w:tr>
    </w:tbl>
    <w:p w:rsidR="00161123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559"/>
        <w:gridCol w:w="1384"/>
        <w:gridCol w:w="36"/>
        <w:gridCol w:w="1349"/>
        <w:gridCol w:w="1484"/>
      </w:tblGrid>
      <w:tr w:rsidR="004B746E" w:rsidRPr="002843D3" w:rsidTr="00957627">
        <w:tc>
          <w:tcPr>
            <w:tcW w:w="9923" w:type="dxa"/>
            <w:gridSpan w:val="7"/>
            <w:shd w:val="clear" w:color="auto" w:fill="auto"/>
          </w:tcPr>
          <w:p w:rsidR="004B746E" w:rsidRPr="002843D3" w:rsidRDefault="004B746E" w:rsidP="00957627">
            <w:pPr>
              <w:jc w:val="center"/>
              <w:rPr>
                <w:rFonts w:eastAsia="標楷體"/>
              </w:rPr>
            </w:pPr>
            <w:r w:rsidRPr="002843D3">
              <w:rPr>
                <w:rFonts w:eastAsia="標楷體" w:hint="eastAsia"/>
              </w:rPr>
              <w:t>輔導</w:t>
            </w:r>
            <w:r w:rsidRPr="002843D3">
              <w:rPr>
                <w:rFonts w:eastAsia="標楷體"/>
              </w:rPr>
              <w:t>推薦證券商認購</w:t>
            </w:r>
            <w:r>
              <w:rPr>
                <w:rFonts w:eastAsia="標楷體" w:hint="eastAsia"/>
              </w:rPr>
              <w:t>霹靂國際多媒體股份有限</w:t>
            </w:r>
            <w:r w:rsidRPr="002843D3">
              <w:rPr>
                <w:rFonts w:eastAsia="標楷體" w:hint="eastAsia"/>
              </w:rPr>
              <w:t>公司</w:t>
            </w:r>
            <w:r w:rsidRPr="002843D3">
              <w:rPr>
                <w:rFonts w:eastAsia="標楷體"/>
              </w:rPr>
              <w:t>股票之</w:t>
            </w:r>
            <w:r w:rsidRPr="002843D3">
              <w:rPr>
                <w:rFonts w:eastAsia="標楷體" w:hint="eastAsia"/>
              </w:rPr>
              <w:t>相關資訊</w:t>
            </w:r>
          </w:p>
        </w:tc>
      </w:tr>
      <w:tr w:rsidR="00EE1EC5" w:rsidRPr="002843D3" w:rsidTr="00D11DAB">
        <w:tc>
          <w:tcPr>
            <w:tcW w:w="2268" w:type="dxa"/>
            <w:shd w:val="clear" w:color="auto" w:fill="auto"/>
          </w:tcPr>
          <w:p w:rsidR="00EE1EC5" w:rsidRPr="002843D3" w:rsidRDefault="00EE1EC5" w:rsidP="00957627">
            <w:pPr>
              <w:jc w:val="center"/>
              <w:rPr>
                <w:rFonts w:eastAsia="標楷體"/>
              </w:rPr>
            </w:pPr>
            <w:r w:rsidRPr="002843D3">
              <w:rPr>
                <w:rFonts w:eastAsia="標楷體" w:hint="eastAsia"/>
              </w:rPr>
              <w:t>證券商名稱</w:t>
            </w:r>
          </w:p>
        </w:tc>
        <w:tc>
          <w:tcPr>
            <w:tcW w:w="1843" w:type="dxa"/>
            <w:shd w:val="clear" w:color="auto" w:fill="auto"/>
          </w:tcPr>
          <w:p w:rsidR="00EE1EC5" w:rsidRPr="00EE1EC5" w:rsidRDefault="00EE1EC5" w:rsidP="00EE1EC5">
            <w:pPr>
              <w:jc w:val="center"/>
              <w:rPr>
                <w:rFonts w:eastAsia="標楷體"/>
                <w:sz w:val="22"/>
              </w:rPr>
            </w:pPr>
            <w:r w:rsidRPr="00EE1EC5">
              <w:rPr>
                <w:rFonts w:eastAsia="標楷體" w:hint="eastAsia"/>
                <w:sz w:val="22"/>
              </w:rPr>
              <w:t>中國信託綜合證券股份有限公司</w:t>
            </w:r>
          </w:p>
        </w:tc>
        <w:tc>
          <w:tcPr>
            <w:tcW w:w="1559" w:type="dxa"/>
            <w:shd w:val="clear" w:color="auto" w:fill="auto"/>
          </w:tcPr>
          <w:p w:rsidR="00EE1EC5" w:rsidRPr="00EE1EC5" w:rsidRDefault="00EE1EC5" w:rsidP="00EE1EC5">
            <w:pPr>
              <w:jc w:val="center"/>
              <w:rPr>
                <w:rFonts w:eastAsia="標楷體"/>
                <w:sz w:val="22"/>
              </w:rPr>
            </w:pPr>
            <w:r w:rsidRPr="00EE1EC5">
              <w:rPr>
                <w:rFonts w:eastAsia="標楷體" w:hint="eastAsia"/>
                <w:sz w:val="22"/>
              </w:rPr>
              <w:t>元大寶來證券股份有限公司</w:t>
            </w:r>
          </w:p>
        </w:tc>
        <w:tc>
          <w:tcPr>
            <w:tcW w:w="1384" w:type="dxa"/>
            <w:shd w:val="clear" w:color="auto" w:fill="auto"/>
          </w:tcPr>
          <w:p w:rsidR="00EE1EC5" w:rsidRPr="00EE1EC5" w:rsidRDefault="00EE1EC5" w:rsidP="00EE1EC5">
            <w:pPr>
              <w:jc w:val="center"/>
              <w:rPr>
                <w:rFonts w:eastAsia="標楷體"/>
                <w:sz w:val="22"/>
              </w:rPr>
            </w:pPr>
            <w:r w:rsidRPr="00EE1EC5">
              <w:rPr>
                <w:rFonts w:eastAsia="標楷體" w:hint="eastAsia"/>
                <w:sz w:val="22"/>
              </w:rPr>
              <w:t>凱基證券股份有限公司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EE1EC5" w:rsidRPr="00EE1EC5" w:rsidRDefault="00EE1EC5" w:rsidP="00EE1EC5">
            <w:pPr>
              <w:jc w:val="center"/>
              <w:rPr>
                <w:rFonts w:eastAsia="標楷體"/>
                <w:sz w:val="22"/>
              </w:rPr>
            </w:pPr>
            <w:r w:rsidRPr="00EE1EC5">
              <w:rPr>
                <w:rFonts w:eastAsia="標楷體" w:hint="eastAsia"/>
                <w:sz w:val="22"/>
              </w:rPr>
              <w:t>元富證券股份有限公司</w:t>
            </w:r>
          </w:p>
        </w:tc>
        <w:tc>
          <w:tcPr>
            <w:tcW w:w="1484" w:type="dxa"/>
            <w:shd w:val="clear" w:color="auto" w:fill="auto"/>
          </w:tcPr>
          <w:p w:rsidR="00EE1EC5" w:rsidRPr="00EE1EC5" w:rsidRDefault="00EE1EC5" w:rsidP="00EE1EC5">
            <w:pPr>
              <w:jc w:val="center"/>
              <w:rPr>
                <w:rFonts w:eastAsia="標楷體"/>
                <w:sz w:val="22"/>
              </w:rPr>
            </w:pPr>
            <w:r w:rsidRPr="00EE1EC5">
              <w:rPr>
                <w:rFonts w:eastAsia="標楷體" w:hint="eastAsia"/>
                <w:sz w:val="22"/>
              </w:rPr>
              <w:t>日盛證券股份有限公司</w:t>
            </w:r>
          </w:p>
        </w:tc>
      </w:tr>
      <w:tr w:rsidR="00EE1EC5" w:rsidRPr="002843D3" w:rsidTr="00BC4F64">
        <w:tc>
          <w:tcPr>
            <w:tcW w:w="2268" w:type="dxa"/>
            <w:shd w:val="clear" w:color="auto" w:fill="auto"/>
          </w:tcPr>
          <w:p w:rsidR="00EE1EC5" w:rsidRPr="002843D3" w:rsidRDefault="00EE1EC5" w:rsidP="00957627">
            <w:pPr>
              <w:jc w:val="center"/>
              <w:rPr>
                <w:rFonts w:eastAsia="標楷體"/>
              </w:rPr>
            </w:pPr>
            <w:r w:rsidRPr="002843D3">
              <w:rPr>
                <w:rFonts w:eastAsia="標楷體" w:hint="eastAsia"/>
              </w:rPr>
              <w:t>認購日期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EE1EC5" w:rsidRPr="002843D3" w:rsidRDefault="00513DCB" w:rsidP="00513D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日</w:t>
            </w:r>
          </w:p>
        </w:tc>
      </w:tr>
      <w:tr w:rsidR="00FA1271" w:rsidRPr="002843D3" w:rsidTr="00FA1271">
        <w:tc>
          <w:tcPr>
            <w:tcW w:w="2268" w:type="dxa"/>
            <w:shd w:val="clear" w:color="auto" w:fill="auto"/>
          </w:tcPr>
          <w:p w:rsidR="00FA1271" w:rsidRPr="002843D3" w:rsidRDefault="00FA1271" w:rsidP="00957627">
            <w:pPr>
              <w:jc w:val="center"/>
              <w:rPr>
                <w:rFonts w:eastAsia="標楷體"/>
              </w:rPr>
            </w:pPr>
            <w:r w:rsidRPr="002843D3">
              <w:rPr>
                <w:rFonts w:eastAsia="標楷體" w:hint="eastAsia"/>
              </w:rPr>
              <w:t>認購股數（股）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271" w:rsidRDefault="00FA1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71" w:rsidRDefault="00FA1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FA1271" w:rsidRDefault="00FA1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A1271" w:rsidRDefault="00FA1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1271" w:rsidRDefault="00FA1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100,000</w:t>
            </w:r>
          </w:p>
        </w:tc>
      </w:tr>
      <w:tr w:rsidR="00FA1271" w:rsidRPr="002843D3" w:rsidTr="00FA1271">
        <w:tc>
          <w:tcPr>
            <w:tcW w:w="2268" w:type="dxa"/>
            <w:shd w:val="clear" w:color="auto" w:fill="auto"/>
          </w:tcPr>
          <w:p w:rsidR="00FA1271" w:rsidRPr="002843D3" w:rsidRDefault="00FA1271" w:rsidP="00957627">
            <w:pPr>
              <w:jc w:val="center"/>
              <w:rPr>
                <w:rFonts w:eastAsia="標楷體"/>
              </w:rPr>
            </w:pPr>
            <w:r w:rsidRPr="002843D3">
              <w:rPr>
                <w:rFonts w:eastAsia="標楷體" w:hint="eastAsia"/>
              </w:rPr>
              <w:t>認購占擬櫃檯買賣股份總數之比率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271" w:rsidRDefault="00FA1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2.56%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271" w:rsidRDefault="00FA1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0.77%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FA1271" w:rsidRDefault="00FA1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0.26%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FA1271" w:rsidRDefault="00FA1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1.28%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FA1271" w:rsidRDefault="00FA12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0.26%</w:t>
            </w:r>
          </w:p>
        </w:tc>
      </w:tr>
      <w:tr w:rsidR="002647BB" w:rsidRPr="002843D3" w:rsidTr="00957627">
        <w:tc>
          <w:tcPr>
            <w:tcW w:w="2268" w:type="dxa"/>
            <w:shd w:val="clear" w:color="auto" w:fill="auto"/>
          </w:tcPr>
          <w:p w:rsidR="002647BB" w:rsidRPr="002843D3" w:rsidRDefault="002647BB" w:rsidP="00957627">
            <w:pPr>
              <w:jc w:val="center"/>
              <w:rPr>
                <w:rFonts w:eastAsia="標楷體"/>
              </w:rPr>
            </w:pPr>
            <w:r w:rsidRPr="002843D3">
              <w:rPr>
                <w:rFonts w:eastAsia="標楷體" w:hint="eastAsia"/>
              </w:rPr>
              <w:t>認購價格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2647BB" w:rsidRPr="002843D3" w:rsidRDefault="002647BB" w:rsidP="0098410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股</w:t>
            </w:r>
          </w:p>
        </w:tc>
      </w:tr>
      <w:tr w:rsidR="002647BB" w:rsidRPr="002843D3" w:rsidTr="00957627">
        <w:tc>
          <w:tcPr>
            <w:tcW w:w="2268" w:type="dxa"/>
            <w:shd w:val="clear" w:color="auto" w:fill="auto"/>
            <w:vAlign w:val="center"/>
          </w:tcPr>
          <w:p w:rsidR="002647BB" w:rsidRPr="002843D3" w:rsidRDefault="002647BB" w:rsidP="00957627">
            <w:pPr>
              <w:jc w:val="center"/>
              <w:rPr>
                <w:rFonts w:eastAsia="標楷體"/>
              </w:rPr>
            </w:pPr>
            <w:r w:rsidRPr="002843D3">
              <w:rPr>
                <w:rFonts w:eastAsia="標楷體" w:hint="eastAsia"/>
              </w:rPr>
              <w:t>認購價格之訂定</w:t>
            </w:r>
          </w:p>
          <w:p w:rsidR="002647BB" w:rsidRPr="002843D3" w:rsidRDefault="002647BB" w:rsidP="00957627">
            <w:pPr>
              <w:jc w:val="center"/>
              <w:rPr>
                <w:rFonts w:eastAsia="標楷體"/>
              </w:rPr>
            </w:pPr>
            <w:r w:rsidRPr="002843D3">
              <w:rPr>
                <w:rFonts w:eastAsia="標楷體" w:hint="eastAsia"/>
              </w:rPr>
              <w:t>依據</w:t>
            </w:r>
            <w:r w:rsidRPr="002843D3">
              <w:rPr>
                <w:rFonts w:eastAsia="標楷體"/>
              </w:rPr>
              <w:t>及方式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2647BB" w:rsidRPr="005E4DD7" w:rsidRDefault="002647BB" w:rsidP="00EE0AA2">
            <w:pPr>
              <w:spacing w:afterLines="20" w:after="72" w:line="360" w:lineRule="exact"/>
              <w:ind w:firstLineChars="200" w:firstLine="480"/>
              <w:jc w:val="both"/>
              <w:rPr>
                <w:rFonts w:eastAsia="標楷體"/>
              </w:rPr>
            </w:pPr>
            <w:r w:rsidRPr="003D4E6C">
              <w:rPr>
                <w:rFonts w:eastAsia="標楷體" w:hint="eastAsia"/>
                <w:kern w:val="0"/>
              </w:rPr>
              <w:t>霹靂公司成立民國</w:t>
            </w:r>
            <w:r w:rsidRPr="003D4E6C">
              <w:rPr>
                <w:rFonts w:eastAsia="標楷體" w:hint="eastAsia"/>
                <w:kern w:val="0"/>
              </w:rPr>
              <w:t>85</w:t>
            </w:r>
            <w:r w:rsidRPr="003D4E6C">
              <w:rPr>
                <w:rFonts w:eastAsia="標楷體" w:hint="eastAsia"/>
                <w:kern w:val="0"/>
              </w:rPr>
              <w:t>年，目前資本額</w:t>
            </w:r>
            <w:r w:rsidRPr="003D4E6C">
              <w:rPr>
                <w:rFonts w:eastAsia="標楷體" w:hint="eastAsia"/>
                <w:kern w:val="0"/>
              </w:rPr>
              <w:t>3.9</w:t>
            </w:r>
            <w:r w:rsidRPr="003D4E6C">
              <w:rPr>
                <w:rFonts w:eastAsia="標楷體" w:hint="eastAsia"/>
                <w:kern w:val="0"/>
              </w:rPr>
              <w:t>億元，</w:t>
            </w:r>
            <w:r w:rsidR="00EE0AA2">
              <w:rPr>
                <w:rFonts w:ascii="標楷體" w:eastAsia="標楷體" w:hAnsi="標楷體" w:hint="eastAsia"/>
              </w:rPr>
              <w:t>主</w:t>
            </w:r>
            <w:r w:rsidR="00EE0AA2" w:rsidRPr="009B34F6">
              <w:rPr>
                <w:rFonts w:ascii="標楷體" w:eastAsia="標楷體" w:hAnsi="標楷體" w:hint="eastAsia"/>
              </w:rPr>
              <w:t>要營業項目為劇集節目、電視節目、錄影節目帶及電影片等各式影片之拍攝製作及發行、衛星廣播電視節目之供應、劇集週邊商品之開發、製作與銷售、及劇集著作之各項授權業務等</w:t>
            </w:r>
            <w:r w:rsidRPr="003D4E6C">
              <w:rPr>
                <w:rFonts w:eastAsia="標楷體" w:hint="eastAsia"/>
                <w:kern w:val="0"/>
              </w:rPr>
              <w:t>。霹靂公司以布袋戲為出發點，跨足各個娛樂消費領域，其</w:t>
            </w:r>
            <w:r w:rsidR="005A6D8F">
              <w:rPr>
                <w:rFonts w:eastAsia="標楷體" w:hint="eastAsia"/>
                <w:kern w:val="0"/>
              </w:rPr>
              <w:t>藝術文化成就及娛樂商業價值，使『霹靂』不僅成為台灣本土文化的意象代表</w:t>
            </w:r>
            <w:r w:rsidRPr="003D4E6C">
              <w:rPr>
                <w:rFonts w:eastAsia="標楷體" w:hint="eastAsia"/>
                <w:kern w:val="0"/>
              </w:rPr>
              <w:t>，更成為</w:t>
            </w:r>
            <w:r w:rsidR="006922FD">
              <w:rPr>
                <w:rFonts w:eastAsia="標楷體" w:hint="eastAsia"/>
                <w:kern w:val="0"/>
              </w:rPr>
              <w:t>台灣最具獨特性的文化</w:t>
            </w:r>
            <w:r w:rsidRPr="005E4DD7">
              <w:rPr>
                <w:rFonts w:eastAsia="標楷體" w:hint="eastAsia"/>
                <w:kern w:val="0"/>
              </w:rPr>
              <w:t>影視娛樂之代名詞</w:t>
            </w:r>
            <w:r w:rsidRPr="005E4DD7">
              <w:rPr>
                <w:rFonts w:eastAsia="標楷體" w:hint="eastAsia"/>
                <w:spacing w:val="15"/>
                <w:szCs w:val="23"/>
              </w:rPr>
              <w:t>。</w:t>
            </w:r>
          </w:p>
          <w:p w:rsidR="002647BB" w:rsidRPr="003D4E6C" w:rsidRDefault="002647BB" w:rsidP="00EE1EC5">
            <w:pPr>
              <w:spacing w:afterLines="20" w:after="72" w:line="360" w:lineRule="exact"/>
              <w:ind w:firstLineChars="200" w:firstLine="480"/>
              <w:jc w:val="both"/>
              <w:rPr>
                <w:rFonts w:eastAsia="標楷體"/>
                <w:color w:val="000000"/>
                <w:kern w:val="0"/>
              </w:rPr>
            </w:pPr>
            <w:r w:rsidRPr="005E4DD7">
              <w:rPr>
                <w:rFonts w:eastAsia="標楷體"/>
                <w:color w:val="000000"/>
                <w:kern w:val="0"/>
              </w:rPr>
              <w:t>本次興櫃認購價格訂定係依一般市場承銷價格訂定模式，經參酌國內上</w:t>
            </w:r>
            <w:r w:rsidRPr="005E4DD7">
              <w:rPr>
                <w:rFonts w:eastAsia="標楷體" w:hint="eastAsia"/>
                <w:color w:val="000000"/>
                <w:kern w:val="0"/>
              </w:rPr>
              <w:t>櫃、興櫃公司誠品、硫園及時報文化、華研等公司</w:t>
            </w:r>
            <w:r w:rsidRPr="005E4DD7">
              <w:rPr>
                <w:rFonts w:eastAsia="標楷體" w:hint="eastAsia"/>
                <w:color w:val="000000"/>
                <w:kern w:val="0"/>
              </w:rPr>
              <w:t>101</w:t>
            </w:r>
            <w:r w:rsidRPr="005E4DD7">
              <w:rPr>
                <w:rFonts w:eastAsia="標楷體" w:hint="eastAsia"/>
                <w:color w:val="000000"/>
                <w:kern w:val="0"/>
              </w:rPr>
              <w:t>年度本益比介於</w:t>
            </w:r>
            <w:r w:rsidR="003335CB">
              <w:rPr>
                <w:rFonts w:eastAsia="標楷體" w:hint="eastAsia"/>
                <w:color w:val="000000"/>
                <w:kern w:val="0"/>
              </w:rPr>
              <w:t>19</w:t>
            </w:r>
            <w:r w:rsidRPr="005E4DD7">
              <w:rPr>
                <w:rFonts w:eastAsia="標楷體" w:hint="eastAsia"/>
                <w:color w:val="000000"/>
                <w:kern w:val="0"/>
              </w:rPr>
              <w:t>倍</w:t>
            </w:r>
            <w:r w:rsidRPr="005E4DD7">
              <w:rPr>
                <w:rFonts w:eastAsia="標楷體" w:hint="eastAsia"/>
                <w:color w:val="000000"/>
                <w:kern w:val="0"/>
              </w:rPr>
              <w:t>~30</w:t>
            </w:r>
            <w:r w:rsidRPr="005E4DD7">
              <w:rPr>
                <w:rFonts w:eastAsia="標楷體" w:hint="eastAsia"/>
                <w:color w:val="000000"/>
                <w:kern w:val="0"/>
              </w:rPr>
              <w:t>倍，</w:t>
            </w:r>
            <w:r w:rsidRPr="005E4DD7">
              <w:rPr>
                <w:rFonts w:eastAsia="標楷體"/>
                <w:color w:val="000000"/>
                <w:kern w:val="0"/>
              </w:rPr>
              <w:t>若以</w:t>
            </w:r>
            <w:r w:rsidRPr="005E4DD7">
              <w:rPr>
                <w:rFonts w:eastAsia="標楷體" w:hint="eastAsia"/>
                <w:color w:val="000000"/>
                <w:kern w:val="0"/>
              </w:rPr>
              <w:t>霹靂</w:t>
            </w:r>
            <w:r w:rsidRPr="005E4DD7">
              <w:rPr>
                <w:rFonts w:eastAsia="標楷體"/>
                <w:color w:val="000000"/>
                <w:kern w:val="0"/>
              </w:rPr>
              <w:t>公司</w:t>
            </w:r>
            <w:r w:rsidRPr="005E4DD7">
              <w:rPr>
                <w:rFonts w:eastAsia="標楷體"/>
                <w:color w:val="000000"/>
                <w:kern w:val="0"/>
              </w:rPr>
              <w:t>10</w:t>
            </w:r>
            <w:r w:rsidRPr="005E4DD7">
              <w:rPr>
                <w:rFonts w:eastAsia="標楷體" w:hint="eastAsia"/>
                <w:color w:val="000000"/>
                <w:kern w:val="0"/>
              </w:rPr>
              <w:t>1</w:t>
            </w:r>
            <w:r w:rsidRPr="005E4DD7">
              <w:rPr>
                <w:rFonts w:eastAsia="標楷體"/>
                <w:color w:val="000000"/>
                <w:kern w:val="0"/>
              </w:rPr>
              <w:t>年度之稅後每股盈餘為</w:t>
            </w:r>
            <w:r w:rsidRPr="005E4DD7">
              <w:rPr>
                <w:rFonts w:eastAsia="標楷體" w:hint="eastAsia"/>
                <w:color w:val="000000"/>
                <w:kern w:val="0"/>
              </w:rPr>
              <w:t>4.67</w:t>
            </w:r>
            <w:r w:rsidRPr="005E4DD7">
              <w:rPr>
                <w:rFonts w:eastAsia="標楷體"/>
                <w:color w:val="000000"/>
                <w:kern w:val="0"/>
              </w:rPr>
              <w:t>元，</w:t>
            </w:r>
            <w:r w:rsidRPr="005E4DD7">
              <w:rPr>
                <w:rFonts w:eastAsia="標楷體"/>
                <w:color w:val="000000"/>
                <w:kern w:val="0"/>
              </w:rPr>
              <w:lastRenderedPageBreak/>
              <w:t>按上述本益比區間計算其參考價格，價格約在</w:t>
            </w:r>
            <w:r w:rsidR="003335CB">
              <w:rPr>
                <w:rFonts w:eastAsia="標楷體" w:hint="eastAsia"/>
                <w:color w:val="000000"/>
                <w:kern w:val="0"/>
                <w:lang w:val="en-CA"/>
              </w:rPr>
              <w:t>89</w:t>
            </w:r>
            <w:r w:rsidRPr="005E4DD7">
              <w:rPr>
                <w:rFonts w:eastAsia="標楷體"/>
                <w:color w:val="000000"/>
                <w:kern w:val="0"/>
              </w:rPr>
              <w:t>元</w:t>
            </w:r>
            <w:r w:rsidRPr="005E4DD7">
              <w:rPr>
                <w:rFonts w:eastAsia="標楷體"/>
                <w:color w:val="000000"/>
                <w:kern w:val="0"/>
              </w:rPr>
              <w:t>~</w:t>
            </w:r>
            <w:r w:rsidRPr="005E4DD7">
              <w:rPr>
                <w:rFonts w:eastAsia="標楷體" w:hint="eastAsia"/>
                <w:color w:val="000000"/>
                <w:kern w:val="0"/>
              </w:rPr>
              <w:t>140</w:t>
            </w:r>
            <w:r w:rsidRPr="005E4DD7">
              <w:rPr>
                <w:rFonts w:eastAsia="標楷體"/>
                <w:color w:val="000000"/>
                <w:kern w:val="0"/>
              </w:rPr>
              <w:t>元之間，考量興櫃巿場流動性不足之風險後，本推薦證券商與</w:t>
            </w:r>
            <w:r w:rsidRPr="005E4DD7">
              <w:rPr>
                <w:rFonts w:eastAsia="標楷體" w:hint="eastAsia"/>
                <w:color w:val="000000"/>
                <w:kern w:val="0"/>
              </w:rPr>
              <w:t>霹靂</w:t>
            </w:r>
            <w:r w:rsidRPr="005E4DD7">
              <w:rPr>
                <w:rFonts w:eastAsia="標楷體"/>
                <w:color w:val="000000"/>
                <w:kern w:val="0"/>
              </w:rPr>
              <w:t>公司共同議定之每股認購價格</w:t>
            </w:r>
            <w:r w:rsidRPr="005E4DD7">
              <w:rPr>
                <w:rFonts w:eastAsia="標楷體" w:hint="eastAsia"/>
                <w:color w:val="000000"/>
                <w:kern w:val="0"/>
              </w:rPr>
              <w:t>102</w:t>
            </w:r>
            <w:r w:rsidRPr="005E4DD7">
              <w:rPr>
                <w:rFonts w:eastAsia="標楷體"/>
                <w:color w:val="000000"/>
                <w:kern w:val="0"/>
              </w:rPr>
              <w:t>元，本益比約為</w:t>
            </w:r>
            <w:r w:rsidRPr="005E4DD7">
              <w:rPr>
                <w:rFonts w:eastAsia="標楷體" w:hint="eastAsia"/>
                <w:color w:val="000000"/>
                <w:kern w:val="0"/>
              </w:rPr>
              <w:t>22</w:t>
            </w:r>
            <w:r w:rsidRPr="005E4DD7">
              <w:rPr>
                <w:rFonts w:eastAsia="標楷體"/>
                <w:color w:val="000000"/>
                <w:kern w:val="0"/>
              </w:rPr>
              <w:t>倍，介於同業平均水準，故本次輔導推薦證券商認購該公司股票之價格應屬合理</w:t>
            </w:r>
            <w:r w:rsidRPr="003D4E6C">
              <w:rPr>
                <w:rFonts w:eastAsia="標楷體"/>
                <w:color w:val="000000"/>
                <w:kern w:val="0"/>
              </w:rPr>
              <w:t>。</w:t>
            </w:r>
          </w:p>
          <w:p w:rsidR="002647BB" w:rsidRPr="002843D3" w:rsidRDefault="002647BB" w:rsidP="00EE1EC5">
            <w:pPr>
              <w:spacing w:afterLines="20" w:after="72" w:line="360" w:lineRule="exact"/>
              <w:ind w:firstLineChars="200" w:firstLine="480"/>
              <w:jc w:val="both"/>
              <w:rPr>
                <w:rFonts w:eastAsia="標楷體"/>
              </w:rPr>
            </w:pPr>
            <w:r w:rsidRPr="003D4E6C">
              <w:rPr>
                <w:rFonts w:eastAsia="標楷體"/>
                <w:kern w:val="0"/>
              </w:rPr>
              <w:t>綜上所述，本</w:t>
            </w:r>
            <w:proofErr w:type="gramStart"/>
            <w:r w:rsidRPr="003D4E6C">
              <w:rPr>
                <w:rFonts w:eastAsia="標楷體"/>
                <w:kern w:val="0"/>
              </w:rPr>
              <w:t>次興櫃</w:t>
            </w:r>
            <w:proofErr w:type="gramEnd"/>
            <w:r w:rsidRPr="003D4E6C">
              <w:rPr>
                <w:rFonts w:eastAsia="標楷體"/>
                <w:kern w:val="0"/>
              </w:rPr>
              <w:t>認購價格之訂定除參酌國際慣用之評價法計算該公司合理價格，另並參酌該公司之所處產業、經營績效、發行市場環境及同業之市場狀況等因素後，與該公司共同議定</w:t>
            </w:r>
            <w:proofErr w:type="gramStart"/>
            <w:r w:rsidRPr="003D4E6C">
              <w:rPr>
                <w:rFonts w:eastAsia="標楷體"/>
                <w:kern w:val="0"/>
              </w:rPr>
              <w:t>之興櫃</w:t>
            </w:r>
            <w:proofErr w:type="gramEnd"/>
            <w:r w:rsidRPr="003D4E6C">
              <w:rPr>
                <w:rFonts w:eastAsia="標楷體"/>
                <w:kern w:val="0"/>
              </w:rPr>
              <w:t>認購價格為</w:t>
            </w:r>
            <w:r w:rsidR="00043524">
              <w:rPr>
                <w:rFonts w:eastAsia="標楷體" w:hint="eastAsia"/>
                <w:kern w:val="0"/>
              </w:rPr>
              <w:t>102</w:t>
            </w:r>
            <w:r w:rsidRPr="003D4E6C">
              <w:rPr>
                <w:rFonts w:eastAsia="標楷體"/>
                <w:kern w:val="0"/>
              </w:rPr>
              <w:t>元。</w:t>
            </w:r>
          </w:p>
        </w:tc>
      </w:tr>
    </w:tbl>
    <w:p w:rsidR="00BF2B97" w:rsidRPr="004B746E" w:rsidRDefault="00BF2B97">
      <w:pPr>
        <w:jc w:val="both"/>
        <w:rPr>
          <w:rFonts w:ascii="新細明體" w:hAnsi="新細明體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5"/>
      </w:tblGrid>
      <w:tr w:rsidR="00161123" w:rsidTr="002F3ACD">
        <w:trPr>
          <w:trHeight w:val="768"/>
        </w:trPr>
        <w:tc>
          <w:tcPr>
            <w:tcW w:w="9945" w:type="dxa"/>
          </w:tcPr>
          <w:bookmarkStart w:id="3" w:name="公司簡介"/>
          <w:bookmarkEnd w:id="3"/>
          <w:p w:rsidR="00161123" w:rsidRPr="009D439E" w:rsidRDefault="006C0247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-6350</wp:posOffset>
                      </wp:positionV>
                      <wp:extent cx="6057900" cy="502285"/>
                      <wp:effectExtent l="0" t="3175" r="4445" b="0"/>
                      <wp:wrapNone/>
                      <wp:docPr id="1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022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1123" w:rsidRDefault="00161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8" type="#_x0000_t202" style="position:absolute;left:0;text-align:left;margin-left:-1.1pt;margin-top:-.5pt;width:477pt;height:39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" fillcolor="#ededed" stroked="f">
                      <v:fill rotate="t" focus="50%" type="gradient"/>
                      <v:textbox>
                        <w:txbxContent>
                          <w:p w:rsidR="00161123" w:rsidRDefault="00161123"/>
                        </w:txbxContent>
                      </v:textbox>
                    </v:shape>
                  </w:pict>
                </mc:Fallback>
              </mc:AlternateContent>
            </w:r>
            <w:r w:rsidR="00161123" w:rsidRPr="009D439E">
              <w:rPr>
                <w:rFonts w:eastAsia="標楷體"/>
                <w:b/>
                <w:bCs/>
              </w:rPr>
              <w:t>公司簡介</w:t>
            </w:r>
            <w:r w:rsidR="00161123" w:rsidRPr="009D439E">
              <w:rPr>
                <w:rFonts w:eastAsia="標楷體"/>
                <w:b/>
                <w:bCs/>
              </w:rPr>
              <w:t>(</w:t>
            </w:r>
            <w:r w:rsidR="00161123" w:rsidRPr="009D439E">
              <w:rPr>
                <w:rFonts w:eastAsia="標楷體"/>
                <w:b/>
                <w:bCs/>
              </w:rPr>
              <w:t>公司介紹、歷史沿革、經營理念、未來展望等</w:t>
            </w:r>
            <w:r w:rsidR="00161123" w:rsidRPr="009D439E">
              <w:rPr>
                <w:rFonts w:eastAsia="標楷體"/>
                <w:b/>
                <w:bCs/>
              </w:rPr>
              <w:t>)</w:t>
            </w:r>
          </w:p>
        </w:tc>
      </w:tr>
      <w:tr w:rsidR="00161123" w:rsidTr="002F3ACD">
        <w:tc>
          <w:tcPr>
            <w:tcW w:w="9945" w:type="dxa"/>
          </w:tcPr>
          <w:p w:rsidR="009D439E" w:rsidRDefault="009D439E" w:rsidP="009D439E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一、公司介紹</w:t>
            </w:r>
          </w:p>
          <w:p w:rsidR="009D439E" w:rsidRPr="003D4E6C" w:rsidRDefault="009D439E" w:rsidP="009D439E">
            <w:pPr>
              <w:ind w:leftChars="236" w:left="566" w:firstLineChars="237" w:firstLine="569"/>
              <w:jc w:val="both"/>
              <w:rPr>
                <w:rFonts w:eastAsia="標楷體"/>
              </w:rPr>
            </w:pPr>
            <w:r w:rsidRPr="003D4E6C">
              <w:rPr>
                <w:rFonts w:eastAsia="標楷體" w:hint="eastAsia"/>
              </w:rPr>
              <w:t>霹靂公司成立於民國</w:t>
            </w:r>
            <w:r w:rsidRPr="003D4E6C">
              <w:rPr>
                <w:rFonts w:eastAsia="標楷體" w:hint="eastAsia"/>
              </w:rPr>
              <w:t>85</w:t>
            </w:r>
            <w:r w:rsidRPr="003D4E6C">
              <w:rPr>
                <w:rFonts w:eastAsia="標楷體" w:hint="eastAsia"/>
              </w:rPr>
              <w:t>年，</w:t>
            </w:r>
            <w:r w:rsidR="007104AD" w:rsidRPr="009B34F6">
              <w:rPr>
                <w:rFonts w:ascii="標楷體" w:eastAsia="標楷體" w:hAnsi="標楷體" w:hint="eastAsia"/>
              </w:rPr>
              <w:t>主要營業項目為劇集節目、電視節目、錄影節目帶及電影片等各式影片之拍攝製作及發行、衛星廣播電視節目之供應、劇集</w:t>
            </w:r>
            <w:r w:rsidR="00FC1B5F">
              <w:rPr>
                <w:rFonts w:ascii="標楷體" w:eastAsia="標楷體" w:hAnsi="標楷體" w:hint="eastAsia"/>
              </w:rPr>
              <w:t>周</w:t>
            </w:r>
            <w:r w:rsidR="007104AD" w:rsidRPr="009B34F6">
              <w:rPr>
                <w:rFonts w:ascii="標楷體" w:eastAsia="標楷體" w:hAnsi="標楷體" w:hint="eastAsia"/>
              </w:rPr>
              <w:t>邊商品之開發、製作與銷售、及劇集著作之各項授權業務等</w:t>
            </w:r>
            <w:r w:rsidRPr="003D4E6C">
              <w:rPr>
                <w:rFonts w:eastAsia="標楷體" w:hint="eastAsia"/>
              </w:rPr>
              <w:t>。</w:t>
            </w:r>
            <w:r>
              <w:rPr>
                <w:rFonts w:eastAsia="標楷體" w:hint="eastAsia"/>
              </w:rPr>
              <w:t>並</w:t>
            </w:r>
            <w:r w:rsidRPr="003D4E6C">
              <w:rPr>
                <w:rFonts w:eastAsia="標楷體" w:hint="eastAsia"/>
                <w:kern w:val="0"/>
              </w:rPr>
              <w:t>以布袋戲為出發點，跨足各個娛樂消費領域，其</w:t>
            </w:r>
            <w:r w:rsidR="00E44CB2">
              <w:rPr>
                <w:rFonts w:eastAsia="標楷體" w:hint="eastAsia"/>
                <w:kern w:val="0"/>
              </w:rPr>
              <w:t>藝術文化成就及娛樂商業價值，使『霹靂』不僅成為台灣本土文化的意象代表，更成為台灣最具獨特性的文化</w:t>
            </w:r>
            <w:r w:rsidRPr="003D4E6C">
              <w:rPr>
                <w:rFonts w:eastAsia="標楷體" w:hint="eastAsia"/>
                <w:kern w:val="0"/>
              </w:rPr>
              <w:t>影視娛樂之代名詞</w:t>
            </w:r>
            <w:r>
              <w:rPr>
                <w:rFonts w:eastAsia="標楷體" w:hint="eastAsia"/>
                <w:kern w:val="0"/>
              </w:rPr>
              <w:t>。</w:t>
            </w:r>
          </w:p>
          <w:p w:rsidR="009D439E" w:rsidRDefault="009D439E" w:rsidP="009D439E">
            <w:pPr>
              <w:spacing w:beforeLines="30" w:before="108" w:afterLines="30" w:after="108"/>
              <w:ind w:left="492" w:hangingChars="205" w:hanging="49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二、歷史沿革</w:t>
            </w:r>
          </w:p>
          <w:tbl>
            <w:tblPr>
              <w:tblW w:w="9497" w:type="dxa"/>
              <w:tblInd w:w="392" w:type="dxa"/>
              <w:tblLook w:val="04A0" w:firstRow="1" w:lastRow="0" w:firstColumn="1" w:lastColumn="0" w:noHBand="0" w:noVBand="1"/>
            </w:tblPr>
            <w:tblGrid>
              <w:gridCol w:w="1323"/>
              <w:gridCol w:w="8174"/>
            </w:tblGrid>
            <w:tr w:rsidR="00386B98" w:rsidRPr="00386B98" w:rsidTr="00E1101D">
              <w:trPr>
                <w:tblHeader/>
              </w:trPr>
              <w:tc>
                <w:tcPr>
                  <w:tcW w:w="1323" w:type="dxa"/>
                  <w:tcBorders>
                    <w:bottom w:val="single" w:sz="4" w:space="0" w:color="auto"/>
                  </w:tcBorders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時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 xml:space="preserve"> 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間</w:t>
                  </w:r>
                </w:p>
              </w:tc>
              <w:tc>
                <w:tcPr>
                  <w:tcW w:w="8174" w:type="dxa"/>
                  <w:tcBorders>
                    <w:bottom w:val="single" w:sz="4" w:space="0" w:color="auto"/>
                  </w:tcBorders>
                  <w:vAlign w:val="center"/>
                </w:tcPr>
                <w:p w:rsidR="00386B98" w:rsidRPr="00386B98" w:rsidRDefault="004260DB" w:rsidP="004B0D51">
                  <w:pPr>
                    <w:pStyle w:val="af1"/>
                    <w:spacing w:line="34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 xml:space="preserve">                  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重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 xml:space="preserve">    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要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 xml:space="preserve">    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紀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 xml:space="preserve">    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事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beforeLines="50" w:before="180"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85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spacing w:beforeLines="50" w:before="180"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7</w:t>
                  </w:r>
                  <w:r w:rsidRPr="00386B98">
                    <w:rPr>
                      <w:rFonts w:eastAsia="標楷體" w:hint="eastAsia"/>
                      <w:color w:val="000000" w:themeColor="text1"/>
                    </w:rPr>
                    <w:t>月成立「大智育樂股份有限公司」代理霹靂衛星台電視廣播節目之業務。成立霹靂官方網站。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87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應邀於國家戲劇院演出『</w:t>
                  </w:r>
                  <w:proofErr w:type="gramStart"/>
                  <w:r w:rsidRPr="00386B98">
                    <w:rPr>
                      <w:rFonts w:eastAsia="標楷體" w:hint="eastAsia"/>
                      <w:color w:val="000000" w:themeColor="text1"/>
                    </w:rPr>
                    <w:t>狼城疑雲</w:t>
                  </w:r>
                  <w:proofErr w:type="gramEnd"/>
                  <w:r w:rsidRPr="00386B98">
                    <w:rPr>
                      <w:rFonts w:eastAsia="標楷體" w:hint="eastAsia"/>
                      <w:color w:val="000000" w:themeColor="text1"/>
                    </w:rPr>
                    <w:t>』，首創布袋戲登上國家戲劇院之記錄。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88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FC1B5F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因應國際市場及電影事業開拓設立「巨</w:t>
                  </w:r>
                  <w:proofErr w:type="gramStart"/>
                  <w:r w:rsidRPr="00386B98">
                    <w:rPr>
                      <w:rFonts w:eastAsia="標楷體" w:hint="eastAsia"/>
                      <w:color w:val="000000" w:themeColor="text1"/>
                    </w:rPr>
                    <w:t>邦</w:t>
                  </w:r>
                  <w:proofErr w:type="gramEnd"/>
                  <w:r w:rsidRPr="00386B98">
                    <w:rPr>
                      <w:rFonts w:eastAsia="標楷體" w:hint="eastAsia"/>
                      <w:color w:val="000000" w:themeColor="text1"/>
                    </w:rPr>
                    <w:t>國際行銷公司」，積極推展肖像授權業務及劇集</w:t>
                  </w:r>
                  <w:r w:rsidR="00FC1B5F">
                    <w:rPr>
                      <w:rFonts w:eastAsia="標楷體" w:hint="eastAsia"/>
                      <w:color w:val="000000" w:themeColor="text1"/>
                    </w:rPr>
                    <w:t>周</w:t>
                  </w:r>
                  <w:r w:rsidRPr="00386B98">
                    <w:rPr>
                      <w:rFonts w:eastAsia="標楷體" w:hint="eastAsia"/>
                      <w:color w:val="000000" w:themeColor="text1"/>
                    </w:rPr>
                    <w:t>邊商品研發。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拍攝新戲『天子傳奇』、『火爆球王』。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89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8</w:t>
                  </w:r>
                  <w:r w:rsidRPr="00386B98">
                    <w:rPr>
                      <w:rFonts w:eastAsia="標楷體" w:hint="eastAsia"/>
                      <w:color w:val="000000" w:themeColor="text1"/>
                    </w:rPr>
                    <w:t>月「大智育樂股份有限公司」，更名為「霹靂國際多媒體股份有限公司」。</w:t>
                  </w:r>
                </w:p>
                <w:p w:rsidR="00386B98" w:rsidRPr="00386B98" w:rsidRDefault="00386B98" w:rsidP="004B0D51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首部布袋戲電影『聖石傳說』上映，結合傳統藝術與數位動畫，獲頒新聞局「票房第一」輔導金獎勵。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設立「創世者網路公司」，將霹靂的經營觸角伸向網路資訊產業。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90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電影『聖石傳說』於中國大陸公開上片發行，成為首部取得正式電影進口配額之台灣電影。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91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電影『聖石傳說』在亞洲地區</w:t>
                  </w:r>
                  <w:r w:rsidRPr="00386B98">
                    <w:rPr>
                      <w:rFonts w:eastAsia="標楷體" w:hint="eastAsia"/>
                      <w:color w:val="000000" w:themeColor="text1"/>
                    </w:rPr>
                    <w:t>(</w:t>
                  </w:r>
                  <w:r w:rsidRPr="00386B98">
                    <w:rPr>
                      <w:rFonts w:eastAsia="標楷體" w:hint="eastAsia"/>
                      <w:color w:val="000000" w:themeColor="text1"/>
                    </w:rPr>
                    <w:t>日本、韓國</w:t>
                  </w:r>
                  <w:r w:rsidRPr="00386B98">
                    <w:rPr>
                      <w:rFonts w:eastAsia="標楷體" w:hint="eastAsia"/>
                      <w:color w:val="000000" w:themeColor="text1"/>
                    </w:rPr>
                    <w:t>)</w:t>
                  </w:r>
                  <w:r w:rsidRPr="00386B98">
                    <w:rPr>
                      <w:rFonts w:eastAsia="標楷體" w:hint="eastAsia"/>
                      <w:color w:val="000000" w:themeColor="text1"/>
                    </w:rPr>
                    <w:t>上映。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霹靂網路商品館啟動上線，正式邁入電子商務的經營。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取得行政院新聞局頒發「新興重要策略性產業執照」。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92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霹靂衛星電視台自製節目「超級霹靂會」首播。</w:t>
                  </w:r>
                  <w:r w:rsidRPr="00386B98">
                    <w:rPr>
                      <w:rFonts w:eastAsia="標楷體" w:hint="eastAsia"/>
                      <w:color w:val="000000" w:themeColor="text1"/>
                    </w:rPr>
                    <w:t xml:space="preserve"> 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93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FC1B5F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霹靂相關</w:t>
                  </w:r>
                  <w:r w:rsidR="00FC1B5F">
                    <w:rPr>
                      <w:rFonts w:eastAsia="標楷體" w:hint="eastAsia"/>
                      <w:color w:val="000000" w:themeColor="text1"/>
                    </w:rPr>
                    <w:t>周</w:t>
                  </w:r>
                  <w:r w:rsidRPr="00386B98">
                    <w:rPr>
                      <w:rFonts w:eastAsia="標楷體" w:hint="eastAsia"/>
                      <w:color w:val="000000" w:themeColor="text1"/>
                    </w:rPr>
                    <w:t>邊商品進駐全台</w:t>
                  </w:r>
                  <w:r w:rsidRPr="00386B98">
                    <w:rPr>
                      <w:rFonts w:eastAsia="標楷體" w:hint="eastAsia"/>
                      <w:color w:val="000000" w:themeColor="text1"/>
                    </w:rPr>
                    <w:t>7-11</w:t>
                  </w:r>
                  <w:r w:rsidRPr="00386B98">
                    <w:rPr>
                      <w:rFonts w:eastAsia="標楷體" w:hint="eastAsia"/>
                      <w:color w:val="000000" w:themeColor="text1"/>
                    </w:rPr>
                    <w:t>超商販售。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94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第一家直營店「霹靂蘭陽精品館」於國立傳統藝術中心正式開幕。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95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 w:rsidRPr="00386B98">
                    <w:rPr>
                      <w:rFonts w:eastAsia="標楷體" w:hint="eastAsia"/>
                      <w:color w:val="000000" w:themeColor="text1"/>
                    </w:rPr>
                    <w:t>2</w:t>
                  </w:r>
                  <w:r w:rsidRPr="00386B98">
                    <w:rPr>
                      <w:rFonts w:eastAsia="標楷體" w:hint="eastAsia"/>
                      <w:color w:val="000000" w:themeColor="text1"/>
                    </w:rPr>
                    <w:t>月，『霹靂英雄榜之爭王記』於美國卡通頻道</w:t>
                  </w:r>
                  <w:r w:rsidRPr="00386B98">
                    <w:rPr>
                      <w:rFonts w:eastAsia="標楷體" w:hint="eastAsia"/>
                      <w:color w:val="000000" w:themeColor="text1"/>
                    </w:rPr>
                    <w:t>(cartoon network)</w:t>
                  </w:r>
                  <w:r w:rsidRPr="00386B98">
                    <w:rPr>
                      <w:rFonts w:eastAsia="標楷體" w:hint="eastAsia"/>
                      <w:color w:val="000000" w:themeColor="text1"/>
                    </w:rPr>
                    <w:t>播映，首部登上全美電視網之台灣自製戲劇節目。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B55A49" w:rsidP="004B0D51">
                  <w:pPr>
                    <w:spacing w:line="340" w:lineRule="exact"/>
                    <w:rPr>
                      <w:rFonts w:eastAsia="標楷體"/>
                      <w:color w:val="000000" w:themeColor="text1"/>
                    </w:rPr>
                  </w:pPr>
                  <w:r>
                    <w:rPr>
                      <w:rFonts w:eastAsia="標楷體" w:hint="eastAsia"/>
                      <w:color w:val="000000" w:themeColor="text1"/>
                    </w:rPr>
                    <w:t>霹靂</w:t>
                  </w:r>
                  <w:r w:rsidR="00386B98" w:rsidRPr="00386B98">
                    <w:rPr>
                      <w:rFonts w:eastAsia="標楷體" w:hint="eastAsia"/>
                      <w:color w:val="000000" w:themeColor="text1"/>
                    </w:rPr>
                    <w:t>榮登新聞局主辦『台灣意象』票選冠軍。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96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與全家便利商店合作推出首波「霹靂全家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Q</w:t>
                  </w:r>
                  <w:proofErr w:type="gramStart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版公仔</w:t>
                  </w:r>
                  <w:proofErr w:type="gramEnd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」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南部地區成立高雄直營店，「霹靂高雄旗艦店」開幕。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98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全面轉換影音通路，首度在全家便利商店發行</w:t>
                  </w:r>
                  <w:proofErr w:type="gramStart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最</w:t>
                  </w:r>
                  <w:proofErr w:type="gramEnd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新劇集。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99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『霹靂震寰宇之龍戰八荒』於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in89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豪華數位影院舉辦數位劇場版首映會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高雄衛武營首次舉辦大型交響音樂會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~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霹靂英雄</w:t>
                  </w:r>
                  <w:proofErr w:type="gramStart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交響夢</w:t>
                  </w:r>
                  <w:proofErr w:type="gramEnd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B55A49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霹靂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受邀參展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2010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中國國際</w:t>
                  </w:r>
                  <w:proofErr w:type="gramStart"/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動漫節</w:t>
                  </w:r>
                  <w:proofErr w:type="gramEnd"/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B55A49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霹靂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受邀參加</w:t>
                  </w:r>
                  <w:r w:rsidR="00386B98" w:rsidRPr="00386B98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2010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台北上海雙城文創博覽會。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B55A49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霹靂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受邀參加第四屆杭州新星杯頒獎典禮。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受邀參與高雄市政府夢時代「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Open Your Dream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」跨年音樂會演出。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100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0E0450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hyperlink r:id="rId11" w:history="1">
                    <w:r w:rsidR="00B55A49">
                      <w:rPr>
                        <w:rFonts w:ascii="Times New Roman" w:eastAsia="標楷體" w:hAnsi="Times New Roman"/>
                        <w:color w:val="000000" w:themeColor="text1"/>
                        <w:szCs w:val="24"/>
                      </w:rPr>
                      <w:t>桃園國際機場二航廈霹靂</w:t>
                    </w:r>
                    <w:r w:rsidR="00386B98" w:rsidRPr="00386B98">
                      <w:rPr>
                        <w:rFonts w:ascii="Times New Roman" w:eastAsia="標楷體" w:hAnsi="Times New Roman"/>
                        <w:color w:val="000000" w:themeColor="text1"/>
                        <w:szCs w:val="24"/>
                      </w:rPr>
                      <w:t>主題候機室啟用</w:t>
                    </w:r>
                  </w:hyperlink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</w:rPr>
                    <w:t>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0E0450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hyperlink r:id="rId12" w:history="1">
                    <w:r w:rsidR="00386B98" w:rsidRPr="00386B98">
                      <w:rPr>
                        <w:rFonts w:ascii="Times New Roman" w:eastAsia="標楷體" w:hAnsi="Times New Roman"/>
                        <w:color w:val="000000" w:themeColor="text1"/>
                        <w:szCs w:val="24"/>
                      </w:rPr>
                      <w:t>與</w:t>
                    </w:r>
                    <w:proofErr w:type="gramStart"/>
                    <w:r w:rsidR="00386B98" w:rsidRPr="00386B98">
                      <w:rPr>
                        <w:rFonts w:ascii="Times New Roman" w:eastAsia="標楷體" w:hAnsi="Times New Roman"/>
                        <w:color w:val="000000" w:themeColor="text1"/>
                        <w:szCs w:val="24"/>
                      </w:rPr>
                      <w:t>北京網尚聯手</w:t>
                    </w:r>
                    <w:proofErr w:type="gramEnd"/>
                    <w:r w:rsidR="00386B98" w:rsidRPr="00386B98">
                      <w:rPr>
                        <w:rFonts w:ascii="Times New Roman" w:eastAsia="標楷體" w:hAnsi="Times New Roman"/>
                        <w:color w:val="000000" w:themeColor="text1"/>
                        <w:szCs w:val="24"/>
                      </w:rPr>
                      <w:t>合作霹靂皇城之「</w:t>
                    </w:r>
                    <w:r w:rsidR="00386B98" w:rsidRPr="00386B98">
                      <w:rPr>
                        <w:rFonts w:ascii="Times New Roman" w:eastAsia="標楷體" w:hAnsi="Times New Roman"/>
                        <w:color w:val="000000" w:themeColor="text1"/>
                        <w:szCs w:val="24"/>
                      </w:rPr>
                      <w:t>i</w:t>
                    </w:r>
                    <w:r w:rsidR="00386B98" w:rsidRPr="00386B98">
                      <w:rPr>
                        <w:rFonts w:ascii="Times New Roman" w:eastAsia="標楷體" w:hAnsi="Times New Roman" w:hint="eastAsia"/>
                        <w:color w:val="000000" w:themeColor="text1"/>
                        <w:szCs w:val="24"/>
                      </w:rPr>
                      <w:t xml:space="preserve"> movie</w:t>
                    </w:r>
                    <w:r w:rsidR="00386B98" w:rsidRPr="00386B98">
                      <w:rPr>
                        <w:rFonts w:ascii="Times New Roman" w:eastAsia="標楷體" w:hAnsi="Times New Roman"/>
                        <w:color w:val="000000" w:themeColor="text1"/>
                        <w:szCs w:val="24"/>
                      </w:rPr>
                      <w:t>霹靂北京影展」</w:t>
                    </w:r>
                  </w:hyperlink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與杭州翻翻動漫文化藝術公司聯合攝製</w:t>
                  </w:r>
                  <w:proofErr w:type="gramStart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偶</w:t>
                  </w:r>
                  <w:proofErr w:type="gramEnd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動畫電視劇『梁祝之</w:t>
                  </w:r>
                  <w:proofErr w:type="gramStart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西湖蝶夢</w:t>
                  </w:r>
                  <w:proofErr w:type="gramEnd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』。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於國立傳統藝術中心曲藝館推出「霹靂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3D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新視界」體驗劇場。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B55A49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霹靂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電影『聖石傳說』受邀於紐約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BAM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影展播映。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0E0450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hyperlink r:id="rId13" w:history="1">
                    <w:r w:rsidR="00386B98" w:rsidRPr="00386B98">
                      <w:rPr>
                        <w:rFonts w:ascii="Times New Roman" w:eastAsia="標楷體" w:hAnsi="Times New Roman"/>
                        <w:color w:val="000000" w:themeColor="text1"/>
                        <w:szCs w:val="24"/>
                      </w:rPr>
                      <w:t>霹靂多媒體榮獲「台灣百大品牌」文化創意服務類殊榮</w:t>
                    </w:r>
                  </w:hyperlink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B55A49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霹靂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受邀參加「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BCWW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韓國國際電視影像展」。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0E0450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hyperlink r:id="rId14" w:history="1">
                    <w:r w:rsidR="00386B98" w:rsidRPr="00386B98">
                      <w:rPr>
                        <w:rFonts w:ascii="Times New Roman" w:eastAsia="標楷體" w:hAnsi="Times New Roman"/>
                        <w:color w:val="000000" w:themeColor="text1"/>
                        <w:szCs w:val="24"/>
                      </w:rPr>
                      <w:t>與經濟部工業局合作簽訂「數位內容產業發展躍進計畫」拍攝</w:t>
                    </w:r>
                    <w:r w:rsidR="00386B98" w:rsidRPr="00386B98">
                      <w:rPr>
                        <w:rFonts w:ascii="Times New Roman" w:eastAsia="標楷體" w:hAnsi="Times New Roman"/>
                        <w:color w:val="000000" w:themeColor="text1"/>
                        <w:szCs w:val="24"/>
                      </w:rPr>
                      <w:t>3D</w:t>
                    </w:r>
                    <w:r w:rsidR="00386B98" w:rsidRPr="00386B98">
                      <w:rPr>
                        <w:rFonts w:ascii="Times New Roman" w:eastAsia="標楷體" w:hAnsi="Times New Roman"/>
                        <w:color w:val="000000" w:themeColor="text1"/>
                        <w:szCs w:val="24"/>
                      </w:rPr>
                      <w:t>布袋戲電影</w:t>
                    </w:r>
                  </w:hyperlink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於高雄衛武營舉辦大型交響音樂會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~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霹靂魔幻交響詩。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投資設立</w:t>
                  </w:r>
                  <w:proofErr w:type="gramStart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偶動漫娛樂</w:t>
                  </w:r>
                  <w:proofErr w:type="gramEnd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事業股份有限公司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proofErr w:type="gramStart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併</w:t>
                  </w:r>
                  <w:proofErr w:type="gramEnd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購大霹靂國際整合行銷股份有限公司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101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B55A49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霹靂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受邀參加「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2012</w:t>
                  </w:r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中國國際</w:t>
                  </w:r>
                  <w:proofErr w:type="gramStart"/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動漫節</w:t>
                  </w:r>
                  <w:proofErr w:type="gramEnd"/>
                  <w:r w:rsidR="00386B98"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」。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成立「大畫動畫股份有限公司」。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開拍首部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3D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布袋戲電影『奇人密碼：</w:t>
                  </w:r>
                  <w:proofErr w:type="gramStart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古羅布</w:t>
                  </w:r>
                  <w:proofErr w:type="gramEnd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之謎』。</w:t>
                  </w:r>
                </w:p>
              </w:tc>
            </w:tr>
            <w:tr w:rsidR="00386B98" w:rsidRPr="00386B98" w:rsidTr="00E1101D"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174" w:type="dxa"/>
                  <w:vAlign w:val="center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霹靂國際多媒體榮獲</w:t>
                  </w:r>
                  <w:r w:rsidRPr="00386B98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「</w:t>
                  </w:r>
                  <w:proofErr w:type="gramStart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文創精品</w:t>
                  </w:r>
                  <w:proofErr w:type="gramEnd"/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獎</w:t>
                  </w:r>
                  <w:r w:rsidRPr="00386B98"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  <w:t>」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服務大獎。</w:t>
                  </w:r>
                </w:p>
              </w:tc>
            </w:tr>
            <w:tr w:rsidR="00386B98" w:rsidRPr="00386B98" w:rsidTr="004B0D51">
              <w:trPr>
                <w:trHeight w:val="632"/>
              </w:trPr>
              <w:tc>
                <w:tcPr>
                  <w:tcW w:w="1323" w:type="dxa"/>
                </w:tcPr>
                <w:p w:rsidR="00386B98" w:rsidRP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民國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102</w:t>
                  </w:r>
                </w:p>
              </w:tc>
              <w:tc>
                <w:tcPr>
                  <w:tcW w:w="8174" w:type="dxa"/>
                  <w:vAlign w:val="center"/>
                </w:tcPr>
                <w:p w:rsidR="00386B98" w:rsidRDefault="00386B98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霹靂劇集於全台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7-ELEVEN</w:t>
                  </w:r>
                  <w:r w:rsidRPr="00386B98"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發行上市。</w:t>
                  </w:r>
                </w:p>
                <w:p w:rsidR="000C42BF" w:rsidRPr="00386B98" w:rsidRDefault="000C42BF" w:rsidP="004B0D51">
                  <w:pPr>
                    <w:pStyle w:val="af1"/>
                    <w:spacing w:line="340" w:lineRule="exact"/>
                    <w:ind w:leftChars="0" w:left="0"/>
                    <w:jc w:val="both"/>
                    <w:rPr>
                      <w:rFonts w:ascii="Times New Roman" w:eastAsia="標楷體" w:hAnsi="Times New Roman"/>
                      <w:color w:val="000000" w:themeColor="text1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color w:val="000000" w:themeColor="text1"/>
                      <w:szCs w:val="24"/>
                    </w:rPr>
                    <w:t>股票核准公開發行</w:t>
                  </w:r>
                </w:p>
              </w:tc>
            </w:tr>
          </w:tbl>
          <w:p w:rsidR="009D439E" w:rsidRPr="009F2775" w:rsidRDefault="009D439E" w:rsidP="00837833">
            <w:pPr>
              <w:spacing w:beforeLines="30" w:before="108" w:afterLines="30" w:after="108"/>
              <w:ind w:left="492" w:hangingChars="205" w:hanging="49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三、經營理念</w:t>
            </w:r>
          </w:p>
          <w:p w:rsidR="009D439E" w:rsidRPr="009F2775" w:rsidRDefault="00EB076F" w:rsidP="00837833">
            <w:pPr>
              <w:ind w:leftChars="236" w:left="566" w:firstLineChars="237" w:firstLine="56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霹靂公司</w:t>
            </w:r>
            <w:r w:rsidR="009D439E" w:rsidRPr="003D4E6C">
              <w:rPr>
                <w:rFonts w:eastAsia="標楷體" w:hint="eastAsia"/>
              </w:rPr>
              <w:t>本著對布袋戲傳統藝術之熱情與使命感，始終秉持「文化傳承、技術創新」之經營理念，藉由不斷超越自我，將布袋戲的表演組織提升成企業化、人性化、多角化之經營，矢志將布袋戲傳統技藝菁華再創風華，並將台灣文化推廣至全世界每</w:t>
            </w:r>
            <w:proofErr w:type="gramStart"/>
            <w:r w:rsidR="009D439E" w:rsidRPr="003D4E6C">
              <w:rPr>
                <w:rFonts w:eastAsia="標楷體" w:hint="eastAsia"/>
              </w:rPr>
              <w:t>個</w:t>
            </w:r>
            <w:proofErr w:type="gramEnd"/>
            <w:r w:rsidR="009D439E" w:rsidRPr="003D4E6C">
              <w:rPr>
                <w:rFonts w:eastAsia="標楷體" w:hint="eastAsia"/>
              </w:rPr>
              <w:t>角落。</w:t>
            </w:r>
          </w:p>
          <w:p w:rsidR="009D439E" w:rsidRDefault="009D439E" w:rsidP="00837833">
            <w:pPr>
              <w:spacing w:beforeLines="30" w:before="108" w:afterLines="30" w:after="108"/>
              <w:ind w:left="492" w:hangingChars="205" w:hanging="49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四、未來展望</w:t>
            </w:r>
          </w:p>
          <w:p w:rsidR="007A638A" w:rsidRPr="00421EBE" w:rsidRDefault="007A638A" w:rsidP="007A638A">
            <w:pPr>
              <w:pStyle w:val="af1"/>
              <w:spacing w:line="360" w:lineRule="exact"/>
              <w:ind w:leftChars="296" w:left="720" w:hangingChars="4" w:hanging="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  <w:proofErr w:type="gramStart"/>
            <w:r w:rsidRPr="00421EBE">
              <w:rPr>
                <w:rFonts w:ascii="Times New Roman" w:eastAsia="標楷體" w:hAnsi="Times New Roman" w:hint="eastAsia"/>
              </w:rPr>
              <w:t>大型偶展</w:t>
            </w:r>
            <w:proofErr w:type="gramEnd"/>
            <w:r w:rsidRPr="00421EBE">
              <w:rPr>
                <w:rFonts w:ascii="Times New Roman" w:eastAsia="標楷體" w:hAnsi="Times New Roman" w:hint="eastAsia"/>
              </w:rPr>
              <w:t>業務：</w:t>
            </w:r>
          </w:p>
          <w:p w:rsidR="007A638A" w:rsidRPr="00421EBE" w:rsidRDefault="007A638A" w:rsidP="007A638A">
            <w:pPr>
              <w:spacing w:beforeLines="30" w:before="108" w:line="360" w:lineRule="exact"/>
              <w:ind w:leftChars="396" w:left="950" w:firstLineChars="195" w:firstLine="468"/>
              <w:rPr>
                <w:rFonts w:eastAsia="標楷體"/>
              </w:rPr>
            </w:pPr>
            <w:r w:rsidRPr="00421EBE">
              <w:rPr>
                <w:rFonts w:eastAsia="標楷體" w:hint="eastAsia"/>
              </w:rPr>
              <w:t>霹靂在偶劇展演史上，屢屢有意想不到的創新，不斷運用新的數位科技，例如浮空投影、互動式多媒體、</w:t>
            </w:r>
            <w:r w:rsidRPr="00421EBE">
              <w:rPr>
                <w:rFonts w:eastAsia="標楷體" w:hint="eastAsia"/>
              </w:rPr>
              <w:t>3D</w:t>
            </w:r>
            <w:r w:rsidRPr="00421EBE">
              <w:rPr>
                <w:rFonts w:eastAsia="標楷體" w:hint="eastAsia"/>
              </w:rPr>
              <w:t>立體投影…不斷地在新的媒體平台演繹，成為新世代所謂</w:t>
            </w:r>
            <w:r w:rsidR="001A5C62">
              <w:rPr>
                <w:rFonts w:eastAsia="標楷體" w:hint="eastAsia"/>
              </w:rPr>
              <w:t>的「新類型偶動畫</w:t>
            </w:r>
            <w:r w:rsidR="00823A89">
              <w:rPr>
                <w:rFonts w:eastAsia="標楷體" w:hint="eastAsia"/>
              </w:rPr>
              <w:t>」來行銷全球，拓展出更寬廣的</w:t>
            </w:r>
            <w:r w:rsidRPr="00421EBE">
              <w:rPr>
                <w:rFonts w:eastAsia="標楷體" w:hint="eastAsia"/>
              </w:rPr>
              <w:t>國際市場。為使各地戲迷觀眾，能體驗認識台灣掌中文化演變及霹靂創新求變的歷史軌跡，</w:t>
            </w:r>
            <w:r w:rsidR="00EB076F">
              <w:rPr>
                <w:rFonts w:eastAsia="標楷體" w:hint="eastAsia"/>
              </w:rPr>
              <w:t>霹靂公司</w:t>
            </w:r>
            <w:r w:rsidRPr="00421EBE">
              <w:rPr>
                <w:rFonts w:eastAsia="標楷體" w:hint="eastAsia"/>
              </w:rPr>
              <w:t>將自</w:t>
            </w:r>
            <w:r w:rsidRPr="00421EBE">
              <w:rPr>
                <w:rFonts w:eastAsia="標楷體" w:hint="eastAsia"/>
              </w:rPr>
              <w:t>102</w:t>
            </w:r>
            <w:r w:rsidRPr="00421EBE">
              <w:rPr>
                <w:rFonts w:eastAsia="標楷體" w:hint="eastAsia"/>
              </w:rPr>
              <w:t>年起積極籌辦大型</w:t>
            </w:r>
            <w:proofErr w:type="gramStart"/>
            <w:r w:rsidRPr="00421EBE">
              <w:rPr>
                <w:rFonts w:eastAsia="標楷體" w:hint="eastAsia"/>
              </w:rPr>
              <w:t>售票偶展</w:t>
            </w:r>
            <w:proofErr w:type="gramEnd"/>
            <w:r w:rsidRPr="00421EBE">
              <w:rPr>
                <w:rFonts w:eastAsia="標楷體" w:hint="eastAsia"/>
              </w:rPr>
              <w:t>，屆時將展出歷年來累積的數百尊戲</w:t>
            </w:r>
            <w:proofErr w:type="gramStart"/>
            <w:r w:rsidRPr="00421EBE">
              <w:rPr>
                <w:rFonts w:eastAsia="標楷體" w:hint="eastAsia"/>
              </w:rPr>
              <w:t>偶</w:t>
            </w:r>
            <w:proofErr w:type="gramEnd"/>
            <w:r w:rsidRPr="00421EBE">
              <w:rPr>
                <w:rFonts w:eastAsia="標楷體" w:hint="eastAsia"/>
              </w:rPr>
              <w:t>，從服裝、造型、兵器到大型場景，民眾除了可以認識布袋戲從野台到電視台，甚至發展到電影版的演變，也能</w:t>
            </w:r>
            <w:r w:rsidRPr="00421EBE">
              <w:rPr>
                <w:rFonts w:eastAsia="標楷體" w:hint="eastAsia"/>
              </w:rPr>
              <w:lastRenderedPageBreak/>
              <w:t>體會霹靂試圖構築出的俠情江湖。</w:t>
            </w:r>
          </w:p>
          <w:p w:rsidR="007A638A" w:rsidRPr="00421EBE" w:rsidRDefault="007A638A" w:rsidP="007A638A">
            <w:pPr>
              <w:pStyle w:val="af1"/>
              <w:spacing w:beforeLines="30" w:before="108" w:line="360" w:lineRule="exact"/>
              <w:ind w:leftChars="296" w:left="720" w:hangingChars="4" w:hanging="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Pr="00421EBE">
              <w:rPr>
                <w:rFonts w:ascii="Times New Roman" w:eastAsia="標楷體" w:hAnsi="Times New Roman" w:hint="eastAsia"/>
              </w:rPr>
              <w:t>3D</w:t>
            </w:r>
            <w:r w:rsidRPr="00421EBE">
              <w:rPr>
                <w:rFonts w:ascii="Times New Roman" w:eastAsia="標楷體" w:hAnsi="Times New Roman" w:hint="eastAsia"/>
              </w:rPr>
              <w:t>立體</w:t>
            </w:r>
            <w:proofErr w:type="gramStart"/>
            <w:r w:rsidRPr="00421EBE">
              <w:rPr>
                <w:rFonts w:ascii="Times New Roman" w:eastAsia="標楷體" w:hAnsi="Times New Roman" w:hint="eastAsia"/>
              </w:rPr>
              <w:t>偶</w:t>
            </w:r>
            <w:proofErr w:type="gramEnd"/>
            <w:r w:rsidRPr="00421EBE">
              <w:rPr>
                <w:rFonts w:ascii="Times New Roman" w:eastAsia="標楷體" w:hAnsi="Times New Roman" w:hint="eastAsia"/>
              </w:rPr>
              <w:t>動畫電影：</w:t>
            </w:r>
          </w:p>
          <w:p w:rsidR="007A638A" w:rsidRPr="00421EBE" w:rsidRDefault="007A638A" w:rsidP="007A638A">
            <w:pPr>
              <w:spacing w:beforeLines="30" w:before="108" w:line="360" w:lineRule="exact"/>
              <w:ind w:leftChars="396" w:left="950" w:firstLineChars="195" w:firstLine="468"/>
              <w:rPr>
                <w:rFonts w:eastAsia="標楷體"/>
              </w:rPr>
            </w:pPr>
            <w:r w:rsidRPr="00421EBE">
              <w:rPr>
                <w:rFonts w:eastAsia="標楷體" w:hint="eastAsia"/>
              </w:rPr>
              <w:t>因應</w:t>
            </w:r>
            <w:r w:rsidRPr="00421EBE">
              <w:rPr>
                <w:rFonts w:eastAsia="標楷體" w:hint="eastAsia"/>
              </w:rPr>
              <w:t>3D</w:t>
            </w:r>
            <w:r w:rsidRPr="00421EBE">
              <w:rPr>
                <w:rFonts w:eastAsia="標楷體" w:hint="eastAsia"/>
              </w:rPr>
              <w:t>立體娛樂的新世代來臨，有關</w:t>
            </w:r>
            <w:r w:rsidRPr="00421EBE">
              <w:rPr>
                <w:rFonts w:eastAsia="標楷體" w:hint="eastAsia"/>
              </w:rPr>
              <w:t>3D</w:t>
            </w:r>
            <w:r w:rsidRPr="00421EBE">
              <w:rPr>
                <w:rFonts w:eastAsia="標楷體" w:hint="eastAsia"/>
              </w:rPr>
              <w:t>立體影像的拍攝、顯示技術日趨成熟，相關的平台蓬勃發展從電影院、電視到網路，甚至手機等</w:t>
            </w:r>
            <w:r w:rsidRPr="00421EBE">
              <w:rPr>
                <w:rFonts w:eastAsia="標楷體" w:hint="eastAsia"/>
              </w:rPr>
              <w:t>3D</w:t>
            </w:r>
            <w:r w:rsidRPr="00421EBE">
              <w:rPr>
                <w:rFonts w:eastAsia="標楷體" w:hint="eastAsia"/>
              </w:rPr>
              <w:t>立體的平台，傳統</w:t>
            </w:r>
            <w:r w:rsidRPr="00421EBE">
              <w:rPr>
                <w:rFonts w:eastAsia="標楷體" w:hint="eastAsia"/>
              </w:rPr>
              <w:t>2D</w:t>
            </w:r>
            <w:r w:rsidRPr="00421EBE">
              <w:rPr>
                <w:rFonts w:eastAsia="標楷體" w:hint="eastAsia"/>
              </w:rPr>
              <w:t>內容轉成</w:t>
            </w:r>
            <w:r w:rsidRPr="00421EBE">
              <w:rPr>
                <w:rFonts w:eastAsia="標楷體" w:hint="eastAsia"/>
              </w:rPr>
              <w:t>3D</w:t>
            </w:r>
            <w:r w:rsidRPr="00421EBE">
              <w:rPr>
                <w:rFonts w:eastAsia="標楷體" w:hint="eastAsia"/>
              </w:rPr>
              <w:t>立體，是一種提供平台內容的方式，但以量身打造的故事和技術來製作，更將成為主流。</w:t>
            </w:r>
            <w:r w:rsidR="00EB076F">
              <w:rPr>
                <w:rFonts w:eastAsia="標楷體" w:hint="eastAsia"/>
              </w:rPr>
              <w:t>霹靂公司</w:t>
            </w:r>
            <w:r w:rsidRPr="00421EBE">
              <w:rPr>
                <w:rFonts w:eastAsia="標楷體" w:hint="eastAsia"/>
              </w:rPr>
              <w:t>在</w:t>
            </w:r>
            <w:r w:rsidRPr="00421EBE">
              <w:rPr>
                <w:rFonts w:eastAsia="標楷體"/>
              </w:rPr>
              <w:t>整合傳統影片前製、拍攝、後製之環節外，更</w:t>
            </w:r>
            <w:r w:rsidRPr="00421EBE">
              <w:rPr>
                <w:rFonts w:eastAsia="標楷體" w:hint="eastAsia"/>
              </w:rPr>
              <w:t>率先</w:t>
            </w:r>
            <w:r w:rsidRPr="00421EBE">
              <w:rPr>
                <w:rFonts w:eastAsia="標楷體"/>
              </w:rPr>
              <w:t>導入高品質的立體影片拍攝</w:t>
            </w:r>
            <w:r w:rsidRPr="00421EBE">
              <w:rPr>
                <w:rFonts w:eastAsia="標楷體" w:hint="eastAsia"/>
              </w:rPr>
              <w:t>技術</w:t>
            </w:r>
            <w:r w:rsidRPr="00421EBE">
              <w:rPr>
                <w:rFonts w:eastAsia="標楷體"/>
              </w:rPr>
              <w:t>，使</w:t>
            </w:r>
            <w:r w:rsidR="00EB076F">
              <w:rPr>
                <w:rFonts w:eastAsia="標楷體" w:hint="eastAsia"/>
              </w:rPr>
              <w:t>霹靂公司</w:t>
            </w:r>
            <w:r w:rsidRPr="00421EBE">
              <w:rPr>
                <w:rFonts w:eastAsia="標楷體"/>
              </w:rPr>
              <w:t>能完成國內首部</w:t>
            </w:r>
            <w:r w:rsidRPr="00421EBE">
              <w:rPr>
                <w:rFonts w:eastAsia="標楷體"/>
              </w:rPr>
              <w:t>3D</w:t>
            </w:r>
            <w:r w:rsidRPr="00421EBE">
              <w:rPr>
                <w:rFonts w:eastAsia="標楷體"/>
              </w:rPr>
              <w:t>立體</w:t>
            </w:r>
            <w:proofErr w:type="gramStart"/>
            <w:r w:rsidRPr="00421EBE">
              <w:rPr>
                <w:rFonts w:eastAsia="標楷體"/>
              </w:rPr>
              <w:t>偶</w:t>
            </w:r>
            <w:proofErr w:type="gramEnd"/>
            <w:r w:rsidRPr="00421EBE">
              <w:rPr>
                <w:rFonts w:eastAsia="標楷體"/>
              </w:rPr>
              <w:t>動畫電影拍攝</w:t>
            </w:r>
            <w:r w:rsidRPr="00421EBE">
              <w:rPr>
                <w:rFonts w:eastAsia="標楷體" w:hint="eastAsia"/>
              </w:rPr>
              <w:t>。並積極尋求跨國或異業資金合作，除降低投資風險外，並期獲取其國際行銷經驗及發行網絡，以利海外市場之行銷推廣。</w:t>
            </w:r>
          </w:p>
          <w:p w:rsidR="007A638A" w:rsidRPr="00421EBE" w:rsidRDefault="007A638A" w:rsidP="007A638A">
            <w:pPr>
              <w:pStyle w:val="af1"/>
              <w:spacing w:beforeLines="30" w:before="108" w:line="360" w:lineRule="exact"/>
              <w:ind w:leftChars="296" w:left="720" w:hangingChars="4" w:hanging="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  <w:r w:rsidRPr="00421EBE">
              <w:rPr>
                <w:rFonts w:ascii="Times New Roman" w:eastAsia="標楷體" w:hAnsi="Times New Roman" w:hint="eastAsia"/>
              </w:rPr>
              <w:t>影音內容擴大授權</w:t>
            </w:r>
          </w:p>
          <w:p w:rsidR="007A638A" w:rsidRPr="00421EBE" w:rsidRDefault="00EB076F" w:rsidP="007A638A">
            <w:pPr>
              <w:spacing w:beforeLines="30" w:before="108" w:line="360" w:lineRule="exact"/>
              <w:ind w:leftChars="396" w:left="950" w:firstLineChars="195" w:firstLine="468"/>
              <w:rPr>
                <w:rFonts w:eastAsia="標楷體"/>
              </w:rPr>
            </w:pPr>
            <w:r>
              <w:rPr>
                <w:rFonts w:eastAsia="標楷體" w:hint="eastAsia"/>
              </w:rPr>
              <w:t>霹靂公司</w:t>
            </w:r>
            <w:r w:rsidR="007A638A" w:rsidRPr="00421EBE">
              <w:rPr>
                <w:rFonts w:eastAsia="標楷體" w:hint="eastAsia"/>
              </w:rPr>
              <w:t>將計畫於國內各大電視台推動節目影片授權</w:t>
            </w:r>
            <w:r w:rsidR="00B55A49">
              <w:rPr>
                <w:rFonts w:eastAsia="標楷體" w:hint="eastAsia"/>
              </w:rPr>
              <w:t>業務，並結合頻道所屬集團之年度合作或大型活動計畫，協助霹靂</w:t>
            </w:r>
            <w:r w:rsidR="000A158B">
              <w:rPr>
                <w:rFonts w:eastAsia="標楷體" w:hint="eastAsia"/>
              </w:rPr>
              <w:t>原創偶動畫</w:t>
            </w:r>
            <w:r w:rsidR="007A638A" w:rsidRPr="00421EBE">
              <w:rPr>
                <w:rFonts w:eastAsia="標楷體" w:hint="eastAsia"/>
              </w:rPr>
              <w:t>節目上映相關宣傳，使雙方合作效益倍增，除於傳統有線</w:t>
            </w:r>
            <w:r w:rsidR="007A638A" w:rsidRPr="00421EBE">
              <w:rPr>
                <w:rFonts w:eastAsia="標楷體" w:hint="eastAsia"/>
              </w:rPr>
              <w:t>/</w:t>
            </w:r>
            <w:r w:rsidR="007A638A" w:rsidRPr="00421EBE">
              <w:rPr>
                <w:rFonts w:eastAsia="標楷體" w:hint="eastAsia"/>
              </w:rPr>
              <w:t>無線電視台劇集推廣外，亦將授權業務範疇擴大至各類影音平台，例如</w:t>
            </w:r>
            <w:r w:rsidR="007A638A" w:rsidRPr="00421EBE">
              <w:rPr>
                <w:rFonts w:eastAsia="標楷體" w:hint="eastAsia"/>
              </w:rPr>
              <w:t>MOD</w:t>
            </w:r>
            <w:r w:rsidR="007A638A" w:rsidRPr="00421EBE">
              <w:rPr>
                <w:rFonts w:eastAsia="標楷體" w:hint="eastAsia"/>
              </w:rPr>
              <w:t>、手機電信平台影音、</w:t>
            </w:r>
            <w:r w:rsidR="007A638A" w:rsidRPr="00421EBE">
              <w:rPr>
                <w:rFonts w:eastAsia="標楷體" w:hint="eastAsia"/>
              </w:rPr>
              <w:t>KKBOX</w:t>
            </w:r>
            <w:r w:rsidR="00B55A49">
              <w:rPr>
                <w:rFonts w:eastAsia="標楷體" w:hint="eastAsia"/>
              </w:rPr>
              <w:t>…，增加霹靂</w:t>
            </w:r>
            <w:r w:rsidR="000A158B">
              <w:rPr>
                <w:rFonts w:eastAsia="標楷體" w:hint="eastAsia"/>
              </w:rPr>
              <w:t>原創偶動畫</w:t>
            </w:r>
            <w:r w:rsidR="007A638A" w:rsidRPr="00421EBE">
              <w:rPr>
                <w:rFonts w:eastAsia="標楷體" w:hint="eastAsia"/>
              </w:rPr>
              <w:t>的市場滲透率及影響力。</w:t>
            </w:r>
          </w:p>
          <w:p w:rsidR="007A638A" w:rsidRPr="00421EBE" w:rsidRDefault="007A638A" w:rsidP="007A638A">
            <w:pPr>
              <w:pStyle w:val="af1"/>
              <w:spacing w:beforeLines="30" w:before="108" w:line="360" w:lineRule="exact"/>
              <w:ind w:leftChars="296" w:left="720" w:hangingChars="4" w:hanging="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  <w:r w:rsidRPr="00421EBE">
              <w:rPr>
                <w:rFonts w:ascii="Times New Roman" w:eastAsia="標楷體" w:hAnsi="Times New Roman" w:hint="eastAsia"/>
              </w:rPr>
              <w:t>數位內容及行動化多媒體產業</w:t>
            </w:r>
          </w:p>
          <w:p w:rsidR="007A638A" w:rsidRPr="00421EBE" w:rsidRDefault="00EB076F" w:rsidP="007A638A">
            <w:pPr>
              <w:spacing w:beforeLines="30" w:before="108" w:line="360" w:lineRule="exact"/>
              <w:ind w:leftChars="396" w:left="950" w:firstLineChars="195" w:firstLine="468"/>
              <w:rPr>
                <w:rFonts w:eastAsia="標楷體"/>
              </w:rPr>
            </w:pPr>
            <w:r>
              <w:rPr>
                <w:rFonts w:eastAsia="標楷體" w:hint="eastAsia"/>
              </w:rPr>
              <w:t>霹靂公司</w:t>
            </w:r>
            <w:r w:rsidR="007A638A" w:rsidRPr="00421EBE">
              <w:rPr>
                <w:rFonts w:eastAsia="標楷體" w:hint="eastAsia"/>
              </w:rPr>
              <w:t>為了在傳統藝術文化及影像新技術領域中，找出屬於新時代的文化元素及語言符號，以</w:t>
            </w:r>
            <w:proofErr w:type="gramStart"/>
            <w:r w:rsidR="007A638A" w:rsidRPr="00421EBE">
              <w:rPr>
                <w:rFonts w:eastAsia="標楷體" w:hint="eastAsia"/>
              </w:rPr>
              <w:t>推升本土偶</w:t>
            </w:r>
            <w:proofErr w:type="gramEnd"/>
            <w:r w:rsidR="007A638A" w:rsidRPr="00421EBE">
              <w:rPr>
                <w:rFonts w:eastAsia="標楷體" w:hint="eastAsia"/>
              </w:rPr>
              <w:t>戲藝術的國際競爭優勢，目前積極朝向數位加值內容服務發展，除</w:t>
            </w:r>
            <w:proofErr w:type="gramStart"/>
            <w:r w:rsidR="007A638A" w:rsidRPr="00421EBE">
              <w:rPr>
                <w:rFonts w:eastAsia="標楷體" w:hint="eastAsia"/>
              </w:rPr>
              <w:t>規</w:t>
            </w:r>
            <w:proofErr w:type="gramEnd"/>
            <w:r w:rsidR="007A638A" w:rsidRPr="00421EBE">
              <w:rPr>
                <w:rFonts w:eastAsia="標楷體" w:hint="eastAsia"/>
              </w:rPr>
              <w:t>畫舉辦</w:t>
            </w:r>
            <w:proofErr w:type="gramStart"/>
            <w:r w:rsidR="007A638A" w:rsidRPr="00421EBE">
              <w:rPr>
                <w:rFonts w:eastAsia="標楷體" w:hint="eastAsia"/>
              </w:rPr>
              <w:t>手機圖貼</w:t>
            </w:r>
            <w:proofErr w:type="gramEnd"/>
            <w:r w:rsidR="007A638A" w:rsidRPr="00421EBE">
              <w:rPr>
                <w:rFonts w:eastAsia="標楷體" w:hint="eastAsia"/>
              </w:rPr>
              <w:t>、</w:t>
            </w:r>
            <w:r w:rsidR="007A638A" w:rsidRPr="00421EBE">
              <w:rPr>
                <w:rFonts w:eastAsia="標楷體" w:hint="eastAsia"/>
              </w:rPr>
              <w:t>APP</w:t>
            </w:r>
            <w:r w:rsidR="007A638A" w:rsidRPr="00421EBE">
              <w:rPr>
                <w:rFonts w:eastAsia="標楷體" w:hint="eastAsia"/>
              </w:rPr>
              <w:t>遊戲</w:t>
            </w:r>
            <w:r w:rsidR="007A638A" w:rsidRPr="00421EBE">
              <w:rPr>
                <w:rFonts w:eastAsia="標楷體"/>
              </w:rPr>
              <w:t>…</w:t>
            </w:r>
            <w:r w:rsidR="007A638A" w:rsidRPr="00421EBE">
              <w:rPr>
                <w:rFonts w:eastAsia="標楷體" w:hint="eastAsia"/>
              </w:rPr>
              <w:t>設計比賽，冀以校園競賽的方式，鼓勵創意思維多元發展，促進各校設計創意交流，提升社會大眾對數位加值內容及</w:t>
            </w:r>
            <w:r w:rsidR="007A638A" w:rsidRPr="00421EBE">
              <w:rPr>
                <w:rFonts w:eastAsia="標楷體" w:hint="eastAsia"/>
              </w:rPr>
              <w:t>APP</w:t>
            </w:r>
            <w:r w:rsidR="00B55A49">
              <w:rPr>
                <w:rFonts w:eastAsia="標楷體" w:hint="eastAsia"/>
              </w:rPr>
              <w:t>行動遊戲創意設計價值的重視，並加入霹靂創</w:t>
            </w:r>
            <w:proofErr w:type="gramStart"/>
            <w:r w:rsidR="00B55A49">
              <w:rPr>
                <w:rFonts w:eastAsia="標楷體" w:hint="eastAsia"/>
              </w:rPr>
              <w:t>創偶動漫</w:t>
            </w:r>
            <w:proofErr w:type="gramEnd"/>
            <w:r w:rsidR="007A638A" w:rsidRPr="00421EBE">
              <w:rPr>
                <w:rFonts w:eastAsia="標楷體" w:hint="eastAsia"/>
              </w:rPr>
              <w:t>的元素，深入設計領域培育專業遊戲創作人才，提供設計新秀交流的創作舞台，並發掘具潛力與志趣的設計人才。</w:t>
            </w:r>
            <w:proofErr w:type="gramStart"/>
            <w:r w:rsidR="007A638A" w:rsidRPr="00421EBE">
              <w:rPr>
                <w:rFonts w:eastAsia="標楷體" w:hint="eastAsia"/>
              </w:rPr>
              <w:t>此外，</w:t>
            </w:r>
            <w:proofErr w:type="gramEnd"/>
            <w:r>
              <w:rPr>
                <w:rFonts w:eastAsia="標楷體" w:hint="eastAsia"/>
              </w:rPr>
              <w:t>霹靂公司</w:t>
            </w:r>
            <w:r w:rsidR="00B55A49">
              <w:rPr>
                <w:rFonts w:eastAsia="標楷體" w:hint="eastAsia"/>
              </w:rPr>
              <w:t>亦結合國內電信業者開發霹靂</w:t>
            </w:r>
            <w:proofErr w:type="gramStart"/>
            <w:r w:rsidR="000A158B">
              <w:rPr>
                <w:rFonts w:eastAsia="標楷體" w:hint="eastAsia"/>
              </w:rPr>
              <w:t>原創偶動畫</w:t>
            </w:r>
            <w:proofErr w:type="gramEnd"/>
            <w:r w:rsidR="007A638A" w:rsidRPr="00421EBE">
              <w:rPr>
                <w:rFonts w:eastAsia="標楷體" w:hint="eastAsia"/>
              </w:rPr>
              <w:t>的行動加值相關應用及數位音樂、影片</w:t>
            </w:r>
            <w:proofErr w:type="gramStart"/>
            <w:r w:rsidR="007A638A" w:rsidRPr="00421EBE">
              <w:rPr>
                <w:rFonts w:eastAsia="標楷體" w:hint="eastAsia"/>
              </w:rPr>
              <w:t>等線上虛擬</w:t>
            </w:r>
            <w:proofErr w:type="gramEnd"/>
            <w:r w:rsidR="007A638A" w:rsidRPr="00421EBE">
              <w:rPr>
                <w:rFonts w:eastAsia="標楷體" w:hint="eastAsia"/>
              </w:rPr>
              <w:t>平台的規劃，朝向多元化的虛擬通路拓展，以因應數位化時代潮流，期望以數位科技連結文化、藝術及創意動能，開創霹靂新視界。</w:t>
            </w:r>
          </w:p>
          <w:p w:rsidR="007A638A" w:rsidRPr="00421EBE" w:rsidRDefault="007A638A" w:rsidP="007A638A">
            <w:pPr>
              <w:pStyle w:val="af1"/>
              <w:spacing w:beforeLines="30" w:before="108" w:line="360" w:lineRule="exact"/>
              <w:ind w:leftChars="296" w:left="720" w:hangingChars="4" w:hanging="1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5.</w:t>
            </w:r>
            <w:r w:rsidRPr="00421EBE">
              <w:rPr>
                <w:rFonts w:ascii="Times New Roman" w:eastAsia="標楷體" w:hAnsi="Times New Roman" w:hint="eastAsia"/>
              </w:rPr>
              <w:t>原創故事授權遊戲開發</w:t>
            </w:r>
            <w:r w:rsidRPr="00421EBE">
              <w:rPr>
                <w:rFonts w:ascii="Times New Roman" w:eastAsia="標楷體" w:hAnsi="Times New Roman" w:hint="eastAsia"/>
              </w:rPr>
              <w:t xml:space="preserve"> </w:t>
            </w:r>
          </w:p>
          <w:p w:rsidR="001B5351" w:rsidRDefault="00EB076F" w:rsidP="007A638A">
            <w:pPr>
              <w:spacing w:beforeLines="30" w:before="108" w:line="360" w:lineRule="exact"/>
              <w:ind w:leftChars="396" w:left="950" w:firstLineChars="195" w:firstLine="468"/>
              <w:rPr>
                <w:rFonts w:eastAsia="標楷體"/>
              </w:rPr>
            </w:pPr>
            <w:r>
              <w:rPr>
                <w:rFonts w:eastAsia="標楷體" w:hint="eastAsia"/>
              </w:rPr>
              <w:t>霹靂公司</w:t>
            </w:r>
            <w:r w:rsidR="007A638A" w:rsidRPr="00421EBE">
              <w:rPr>
                <w:rFonts w:eastAsia="標楷體" w:hint="eastAsia"/>
              </w:rPr>
              <w:t>歷年來持續不斷創作的原創故事內容、數以千計的英雄角色、兵器道具、場景設定等，可謂國內原創故事題材之冠，歷年來即持續與國內各大遊戲公司合作，累計推出多款以霹靂劇情故事為主軸的電腦遊戲。近年來，</w:t>
            </w:r>
            <w:r>
              <w:rPr>
                <w:rFonts w:eastAsia="標楷體" w:hint="eastAsia"/>
              </w:rPr>
              <w:t>霹靂公司</w:t>
            </w:r>
            <w:r w:rsidR="007A638A" w:rsidRPr="00421EBE">
              <w:rPr>
                <w:rFonts w:eastAsia="標楷體" w:hint="eastAsia"/>
              </w:rPr>
              <w:t>亦擴大授權範圍，與國內</w:t>
            </w:r>
            <w:proofErr w:type="gramStart"/>
            <w:r w:rsidR="007A638A" w:rsidRPr="00421EBE">
              <w:rPr>
                <w:rFonts w:eastAsia="標楷體" w:hint="eastAsia"/>
              </w:rPr>
              <w:t>知名線上遊戲</w:t>
            </w:r>
            <w:proofErr w:type="gramEnd"/>
            <w:r w:rsidR="007A638A" w:rsidRPr="00421EBE">
              <w:rPr>
                <w:rFonts w:eastAsia="標楷體" w:hint="eastAsia"/>
              </w:rPr>
              <w:t>業者合作授權開發推出多款以霹靂原創故事為核心的</w:t>
            </w:r>
            <w:proofErr w:type="gramStart"/>
            <w:r w:rsidR="007A638A" w:rsidRPr="00421EBE">
              <w:rPr>
                <w:rFonts w:eastAsia="標楷體" w:hint="eastAsia"/>
              </w:rPr>
              <w:t>大型線上遊戲</w:t>
            </w:r>
            <w:proofErr w:type="gramEnd"/>
            <w:r w:rsidR="007A638A" w:rsidRPr="00421EBE">
              <w:rPr>
                <w:rFonts w:eastAsia="標楷體" w:hint="eastAsia"/>
              </w:rPr>
              <w:t>，以增加</w:t>
            </w:r>
            <w:r>
              <w:rPr>
                <w:rFonts w:eastAsia="標楷體" w:hint="eastAsia"/>
              </w:rPr>
              <w:t>霹靂公司</w:t>
            </w:r>
            <w:r w:rsidR="007A638A" w:rsidRPr="00421EBE">
              <w:rPr>
                <w:rFonts w:eastAsia="標楷體" w:hint="eastAsia"/>
              </w:rPr>
              <w:t>產品之廣度。</w:t>
            </w:r>
          </w:p>
          <w:p w:rsidR="004260DB" w:rsidRPr="00AB797F" w:rsidRDefault="004260DB" w:rsidP="007A638A">
            <w:pPr>
              <w:spacing w:beforeLines="30" w:before="108" w:line="360" w:lineRule="exact"/>
              <w:ind w:leftChars="396" w:left="950" w:firstLineChars="195" w:firstLine="468"/>
              <w:rPr>
                <w:rFonts w:eastAsia="標楷體"/>
              </w:rPr>
            </w:pPr>
          </w:p>
        </w:tc>
      </w:tr>
    </w:tbl>
    <w:p w:rsidR="00161123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                                                                        </w:t>
      </w:r>
      <w:r w:rsidR="006C0247">
        <w:rPr>
          <w:rFonts w:ascii="新細明體" w:hAnsi="新細明體" w:hint="eastAsia"/>
          <w:noProof/>
        </w:rPr>
        <w:drawing>
          <wp:inline distT="0" distB="0" distL="0" distR="0">
            <wp:extent cx="409575" cy="152400"/>
            <wp:effectExtent l="0" t="0" r="9525" b="0"/>
            <wp:docPr id="2" name="圖片 2" descr="icon_to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to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074"/>
        <w:gridCol w:w="2497"/>
        <w:gridCol w:w="1956"/>
        <w:gridCol w:w="1528"/>
      </w:tblGrid>
      <w:tr w:rsidR="00161123" w:rsidTr="00D23BBA">
        <w:trPr>
          <w:cantSplit/>
        </w:trPr>
        <w:tc>
          <w:tcPr>
            <w:tcW w:w="9926" w:type="dxa"/>
            <w:gridSpan w:val="5"/>
          </w:tcPr>
          <w:bookmarkStart w:id="4" w:name="主要業務項目"/>
          <w:bookmarkEnd w:id="4"/>
          <w:p w:rsidR="002F3ACD" w:rsidRPr="003D4E6C" w:rsidRDefault="006C0247" w:rsidP="002F3ACD">
            <w:pPr>
              <w:spacing w:beforeLines="50" w:before="180"/>
              <w:rPr>
                <w:rFonts w:eastAsia="標楷體"/>
                <w:b/>
                <w:bCs/>
              </w:rPr>
            </w:pPr>
            <w:r>
              <w:rPr>
                <w:rFonts w:eastAsia="標楷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F3020D2" wp14:editId="1467E67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-5715</wp:posOffset>
                      </wp:positionV>
                      <wp:extent cx="6057900" cy="564515"/>
                      <wp:effectExtent l="0" t="3810" r="4445" b="3175"/>
                      <wp:wrapNone/>
                      <wp:docPr id="14" name="Text Box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5645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3ACD" w:rsidRDefault="002F3ACD" w:rsidP="002F3A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29" type="#_x0000_t202" style="position:absolute;margin-left:-1.1pt;margin-top:-.45pt;width:477pt;height:4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" fillcolor="#ededed" stroked="f">
                      <v:fill rotate="t" focus="50%" type="gradient"/>
                      <v:textbox>
                        <w:txbxContent>
                          <w:p w:rsidR="002F3ACD" w:rsidRDefault="002F3ACD" w:rsidP="002F3ACD"/>
                        </w:txbxContent>
                      </v:textbox>
                    </v:shape>
                  </w:pict>
                </mc:Fallback>
              </mc:AlternateContent>
            </w:r>
            <w:r w:rsidR="002F3ACD" w:rsidRPr="003D4E6C">
              <w:rPr>
                <w:rFonts w:eastAsia="標楷體" w:hint="eastAsia"/>
                <w:b/>
                <w:bCs/>
              </w:rPr>
              <w:t>主要</w:t>
            </w:r>
            <w:r w:rsidR="002F3ACD" w:rsidRPr="003D4E6C">
              <w:rPr>
                <w:rFonts w:eastAsia="標楷體"/>
                <w:b/>
                <w:bCs/>
              </w:rPr>
              <w:t>業務</w:t>
            </w:r>
            <w:r w:rsidR="002F3ACD" w:rsidRPr="003D4E6C">
              <w:rPr>
                <w:rFonts w:eastAsia="標楷體" w:hint="eastAsia"/>
                <w:b/>
                <w:bCs/>
              </w:rPr>
              <w:t>項目</w:t>
            </w:r>
            <w:r w:rsidR="002F3ACD" w:rsidRPr="003D4E6C">
              <w:rPr>
                <w:rFonts w:eastAsia="標楷體"/>
                <w:b/>
                <w:bCs/>
              </w:rPr>
              <w:t>：</w:t>
            </w:r>
          </w:p>
          <w:p w:rsidR="00161123" w:rsidRDefault="00043524" w:rsidP="00DC0021">
            <w:pPr>
              <w:spacing w:afterLines="50" w:after="180" w:line="360" w:lineRule="exact"/>
              <w:ind w:firstLineChars="200" w:firstLine="480"/>
              <w:rPr>
                <w:rFonts w:ascii="新細明體" w:hAnsi="新細明體"/>
                <w:sz w:val="20"/>
              </w:rPr>
            </w:pPr>
            <w:r w:rsidRPr="009B34F6">
              <w:rPr>
                <w:rFonts w:ascii="標楷體" w:eastAsia="標楷體" w:hAnsi="標楷體" w:hint="eastAsia"/>
              </w:rPr>
              <w:t>主要營業項目為劇集節目、電視節目、錄影節目帶及電影片等各式影片之拍攝製作及發行、衛星廣播電視節目之供應、劇集</w:t>
            </w:r>
            <w:r w:rsidR="00DC0021">
              <w:rPr>
                <w:rFonts w:ascii="標楷體" w:eastAsia="標楷體" w:hAnsi="標楷體" w:hint="eastAsia"/>
              </w:rPr>
              <w:t>周</w:t>
            </w:r>
            <w:r w:rsidRPr="009B34F6">
              <w:rPr>
                <w:rFonts w:ascii="標楷體" w:eastAsia="標楷體" w:hAnsi="標楷體" w:hint="eastAsia"/>
              </w:rPr>
              <w:t>邊商品之開發、製作與銷售、及劇集著作之各項授權業務等</w:t>
            </w:r>
            <w:r w:rsidR="00386B98">
              <w:rPr>
                <w:rFonts w:ascii="標楷體" w:eastAsia="標楷體" w:hAnsi="標楷體" w:hint="eastAsia"/>
              </w:rPr>
              <w:t>。</w:t>
            </w:r>
            <w:r w:rsidR="002F3ACD" w:rsidRPr="003D4E6C">
              <w:rPr>
                <w:rFonts w:eastAsia="標楷體"/>
              </w:rPr>
              <w:t xml:space="preserve"> </w:t>
            </w:r>
            <w:r w:rsidR="00161123">
              <w:rPr>
                <w:rFonts w:ascii="新細明體" w:hAnsi="新細明體"/>
                <w:sz w:val="20"/>
              </w:rPr>
              <w:t xml:space="preserve">                                      </w:t>
            </w:r>
          </w:p>
        </w:tc>
      </w:tr>
      <w:tr w:rsidR="00161123" w:rsidTr="00D23BBA">
        <w:trPr>
          <w:cantSplit/>
        </w:trPr>
        <w:tc>
          <w:tcPr>
            <w:tcW w:w="9926" w:type="dxa"/>
            <w:gridSpan w:val="5"/>
            <w:vAlign w:val="center"/>
          </w:tcPr>
          <w:p w:rsidR="00161123" w:rsidRPr="002F3ACD" w:rsidRDefault="00161123">
            <w:pPr>
              <w:jc w:val="both"/>
              <w:rPr>
                <w:rFonts w:eastAsia="標楷體"/>
                <w:szCs w:val="26"/>
              </w:rPr>
            </w:pPr>
            <w:r w:rsidRPr="002F3ACD">
              <w:rPr>
                <w:rFonts w:eastAsia="標楷體"/>
                <w:szCs w:val="26"/>
              </w:rPr>
              <w:lastRenderedPageBreak/>
              <w:t>公司所屬產業之上、中、下游結構圖：</w:t>
            </w:r>
          </w:p>
          <w:p w:rsidR="00161123" w:rsidRDefault="006C0247" w:rsidP="00823A89">
            <w:pPr>
              <w:jc w:val="center"/>
              <w:rPr>
                <w:rFonts w:ascii="新細明體" w:hAnsi="新細明體"/>
                <w:sz w:val="20"/>
                <w:szCs w:val="26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10041D5" wp14:editId="31EA7ED7">
                  <wp:extent cx="5459592" cy="4038600"/>
                  <wp:effectExtent l="0" t="0" r="8255" b="0"/>
                  <wp:docPr id="3" name="圖片 0" descr="ScreenHunter1006_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0" descr="ScreenHunter1006_0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555" cy="406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123" w:rsidRPr="00A46B6A" w:rsidTr="00D23BBA">
        <w:tc>
          <w:tcPr>
            <w:tcW w:w="1871" w:type="dxa"/>
            <w:shd w:val="clear" w:color="auto" w:fill="F9F9F9"/>
            <w:vAlign w:val="center"/>
          </w:tcPr>
          <w:p w:rsidR="00161123" w:rsidRPr="00A46B6A" w:rsidRDefault="00161123">
            <w:pPr>
              <w:snapToGrid w:val="0"/>
              <w:spacing w:line="300" w:lineRule="exact"/>
              <w:jc w:val="distribute"/>
              <w:rPr>
                <w:rFonts w:eastAsia="標楷體"/>
                <w:szCs w:val="26"/>
              </w:rPr>
            </w:pPr>
            <w:r w:rsidRPr="00A46B6A">
              <w:rPr>
                <w:rFonts w:eastAsia="標楷體"/>
                <w:szCs w:val="26"/>
              </w:rPr>
              <w:t>產品名稱</w:t>
            </w:r>
          </w:p>
        </w:tc>
        <w:tc>
          <w:tcPr>
            <w:tcW w:w="2074" w:type="dxa"/>
            <w:shd w:val="clear" w:color="auto" w:fill="F9F9F9"/>
            <w:vAlign w:val="center"/>
          </w:tcPr>
          <w:p w:rsidR="00161123" w:rsidRPr="00A46B6A" w:rsidRDefault="00161123">
            <w:pPr>
              <w:pStyle w:val="a3"/>
              <w:spacing w:line="300" w:lineRule="exact"/>
              <w:rPr>
                <w:szCs w:val="26"/>
              </w:rPr>
            </w:pPr>
            <w:r w:rsidRPr="00A46B6A">
              <w:rPr>
                <w:szCs w:val="26"/>
              </w:rPr>
              <w:t>產品圖示</w:t>
            </w:r>
          </w:p>
          <w:p w:rsidR="00161123" w:rsidRPr="00A46B6A" w:rsidRDefault="00161123">
            <w:pPr>
              <w:pStyle w:val="a3"/>
              <w:spacing w:line="300" w:lineRule="exact"/>
              <w:rPr>
                <w:szCs w:val="26"/>
              </w:rPr>
            </w:pPr>
            <w:r w:rsidRPr="00A46B6A">
              <w:rPr>
                <w:szCs w:val="26"/>
              </w:rPr>
              <w:t>及介紹</w:t>
            </w:r>
          </w:p>
        </w:tc>
        <w:tc>
          <w:tcPr>
            <w:tcW w:w="2497" w:type="dxa"/>
            <w:shd w:val="clear" w:color="auto" w:fill="F9F9F9"/>
            <w:vAlign w:val="center"/>
          </w:tcPr>
          <w:p w:rsidR="00161123" w:rsidRPr="00A46B6A" w:rsidRDefault="00161123">
            <w:pPr>
              <w:pStyle w:val="a3"/>
              <w:spacing w:line="300" w:lineRule="exact"/>
              <w:rPr>
                <w:szCs w:val="26"/>
              </w:rPr>
            </w:pPr>
            <w:r w:rsidRPr="00A46B6A">
              <w:rPr>
                <w:szCs w:val="26"/>
              </w:rPr>
              <w:t>重要用途或功能</w:t>
            </w:r>
          </w:p>
        </w:tc>
        <w:tc>
          <w:tcPr>
            <w:tcW w:w="1956" w:type="dxa"/>
            <w:shd w:val="clear" w:color="auto" w:fill="F9F9F9"/>
          </w:tcPr>
          <w:p w:rsidR="00161123" w:rsidRPr="00A46B6A" w:rsidRDefault="00161123">
            <w:pPr>
              <w:jc w:val="center"/>
              <w:rPr>
                <w:rFonts w:eastAsia="標楷體"/>
                <w:szCs w:val="26"/>
              </w:rPr>
            </w:pPr>
            <w:r w:rsidRPr="00A46B6A">
              <w:rPr>
                <w:rFonts w:eastAsia="標楷體" w:hint="eastAsia"/>
              </w:rPr>
              <w:t>最近</w:t>
            </w:r>
            <w:proofErr w:type="gramStart"/>
            <w:r w:rsidRPr="00A46B6A">
              <w:rPr>
                <w:rFonts w:eastAsia="標楷體" w:hint="eastAsia"/>
              </w:rPr>
              <w:t>一</w:t>
            </w:r>
            <w:proofErr w:type="gramEnd"/>
            <w:r w:rsidRPr="00A46B6A">
              <w:rPr>
                <w:rFonts w:eastAsia="標楷體" w:hint="eastAsia"/>
              </w:rPr>
              <w:t>年度</w:t>
            </w:r>
          </w:p>
          <w:p w:rsidR="00161123" w:rsidRPr="00A46B6A" w:rsidRDefault="00161123">
            <w:pPr>
              <w:jc w:val="center"/>
              <w:rPr>
                <w:rFonts w:eastAsia="標楷體"/>
              </w:rPr>
            </w:pPr>
            <w:r w:rsidRPr="00A46B6A">
              <w:rPr>
                <w:rFonts w:eastAsia="標楷體"/>
                <w:szCs w:val="26"/>
              </w:rPr>
              <w:t>營收金額</w:t>
            </w:r>
            <w:r w:rsidRPr="00A46B6A">
              <w:rPr>
                <w:rFonts w:eastAsia="標楷體"/>
                <w:szCs w:val="26"/>
              </w:rPr>
              <w:t>(</w:t>
            </w:r>
            <w:r w:rsidRPr="00A46B6A">
              <w:rPr>
                <w:rFonts w:eastAsia="標楷體"/>
                <w:szCs w:val="26"/>
              </w:rPr>
              <w:t>仟元</w:t>
            </w:r>
            <w:r w:rsidRPr="00A46B6A">
              <w:rPr>
                <w:rFonts w:eastAsia="標楷體"/>
                <w:szCs w:val="26"/>
              </w:rPr>
              <w:t>)</w:t>
            </w:r>
          </w:p>
        </w:tc>
        <w:tc>
          <w:tcPr>
            <w:tcW w:w="1528" w:type="dxa"/>
            <w:shd w:val="clear" w:color="auto" w:fill="F9F9F9"/>
          </w:tcPr>
          <w:p w:rsidR="00161123" w:rsidRPr="00A46B6A" w:rsidRDefault="00161123">
            <w:pPr>
              <w:jc w:val="center"/>
              <w:rPr>
                <w:rFonts w:eastAsia="標楷體"/>
                <w:szCs w:val="26"/>
              </w:rPr>
            </w:pPr>
            <w:proofErr w:type="gramStart"/>
            <w:r w:rsidRPr="00A46B6A">
              <w:rPr>
                <w:rFonts w:eastAsia="標楷體"/>
                <w:szCs w:val="26"/>
              </w:rPr>
              <w:t>佔</w:t>
            </w:r>
            <w:proofErr w:type="gramEnd"/>
            <w:r w:rsidRPr="00A46B6A">
              <w:rPr>
                <w:rFonts w:eastAsia="標楷體"/>
                <w:szCs w:val="26"/>
              </w:rPr>
              <w:t>總營收</w:t>
            </w:r>
          </w:p>
          <w:p w:rsidR="00161123" w:rsidRPr="00A46B6A" w:rsidRDefault="00161123">
            <w:pPr>
              <w:jc w:val="center"/>
              <w:rPr>
                <w:rFonts w:eastAsia="標楷體"/>
              </w:rPr>
            </w:pPr>
            <w:r w:rsidRPr="00A46B6A">
              <w:rPr>
                <w:rFonts w:eastAsia="標楷體"/>
                <w:szCs w:val="26"/>
              </w:rPr>
              <w:t>比重</w:t>
            </w:r>
            <w:r w:rsidRPr="00A46B6A">
              <w:rPr>
                <w:rFonts w:eastAsia="標楷體"/>
                <w:szCs w:val="26"/>
              </w:rPr>
              <w:t>(%)</w:t>
            </w:r>
          </w:p>
        </w:tc>
      </w:tr>
      <w:tr w:rsidR="007A217A" w:rsidRPr="00A46B6A" w:rsidTr="00D23BBA">
        <w:tc>
          <w:tcPr>
            <w:tcW w:w="1871" w:type="dxa"/>
            <w:vAlign w:val="center"/>
          </w:tcPr>
          <w:p w:rsidR="007A217A" w:rsidRPr="00A46B6A" w:rsidRDefault="007A217A" w:rsidP="00957627">
            <w:pPr>
              <w:pStyle w:val="af1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A46B6A">
              <w:rPr>
                <w:rFonts w:ascii="Times New Roman" w:eastAsia="標楷體" w:hAnsi="Times New Roman" w:hint="eastAsia"/>
              </w:rPr>
              <w:t>劇集發行收入</w:t>
            </w:r>
          </w:p>
        </w:tc>
        <w:tc>
          <w:tcPr>
            <w:tcW w:w="2074" w:type="dxa"/>
            <w:vAlign w:val="center"/>
          </w:tcPr>
          <w:p w:rsidR="007A217A" w:rsidRPr="00A46B6A" w:rsidRDefault="006C0247" w:rsidP="00957627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800080"/>
                <w:szCs w:val="26"/>
              </w:rPr>
            </w:pPr>
            <w:r>
              <w:rPr>
                <w:rFonts w:eastAsia="標楷體"/>
                <w:noProof/>
                <w:color w:val="000000"/>
                <w:szCs w:val="20"/>
              </w:rPr>
              <w:drawing>
                <wp:inline distT="0" distB="0" distL="0" distR="0" wp14:anchorId="799C02C7" wp14:editId="71238DD7">
                  <wp:extent cx="1019175" cy="845916"/>
                  <wp:effectExtent l="0" t="0" r="0" b="0"/>
                  <wp:docPr id="4" name="圖片 4" descr="【夏殺回饋慶】動機風雲全套DVD含收藏盒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【夏殺回饋慶】動機風雲全套DVD含收藏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535" cy="84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vAlign w:val="center"/>
          </w:tcPr>
          <w:p w:rsidR="007A217A" w:rsidRPr="00A46B6A" w:rsidRDefault="007A217A" w:rsidP="00957627">
            <w:pPr>
              <w:snapToGrid w:val="0"/>
              <w:spacing w:line="240" w:lineRule="atLeast"/>
              <w:jc w:val="both"/>
              <w:rPr>
                <w:rFonts w:eastAsia="標楷體"/>
                <w:szCs w:val="26"/>
              </w:rPr>
            </w:pPr>
            <w:r w:rsidRPr="00A46B6A">
              <w:rPr>
                <w:rFonts w:eastAsia="標楷體" w:hint="eastAsia"/>
                <w:szCs w:val="26"/>
              </w:rPr>
              <w:t>劇集銷售</w:t>
            </w:r>
          </w:p>
        </w:tc>
        <w:tc>
          <w:tcPr>
            <w:tcW w:w="1956" w:type="dxa"/>
            <w:vAlign w:val="center"/>
          </w:tcPr>
          <w:p w:rsidR="007A217A" w:rsidRPr="00204EB6" w:rsidRDefault="007A217A" w:rsidP="00957627">
            <w:pPr>
              <w:pStyle w:val="af1"/>
              <w:ind w:leftChars="0" w:left="0" w:rightChars="14" w:right="34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272</w:t>
            </w:r>
            <w:r>
              <w:rPr>
                <w:rFonts w:ascii="Times New Roman" w:eastAsia="標楷體" w:hAnsi="Times New Roman"/>
                <w:color w:val="000000"/>
              </w:rPr>
              <w:t>,</w:t>
            </w:r>
            <w:r>
              <w:rPr>
                <w:rFonts w:ascii="Times New Roman" w:eastAsia="標楷體" w:hAnsi="Times New Roman" w:hint="eastAsia"/>
                <w:color w:val="000000"/>
              </w:rPr>
              <w:t>028</w:t>
            </w:r>
          </w:p>
        </w:tc>
        <w:tc>
          <w:tcPr>
            <w:tcW w:w="1528" w:type="dxa"/>
            <w:vAlign w:val="center"/>
          </w:tcPr>
          <w:p w:rsidR="007A217A" w:rsidRPr="007A217A" w:rsidRDefault="007A217A">
            <w:pPr>
              <w:jc w:val="right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60.88</w:t>
            </w:r>
          </w:p>
        </w:tc>
      </w:tr>
      <w:tr w:rsidR="007A217A" w:rsidRPr="00565CF3" w:rsidTr="00D23BBA">
        <w:tc>
          <w:tcPr>
            <w:tcW w:w="1871" w:type="dxa"/>
            <w:vAlign w:val="center"/>
          </w:tcPr>
          <w:p w:rsidR="007A217A" w:rsidRPr="00565CF3" w:rsidRDefault="007A217A" w:rsidP="00957627">
            <w:pPr>
              <w:pStyle w:val="af1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65CF3">
              <w:rPr>
                <w:rFonts w:ascii="Times New Roman" w:eastAsia="標楷體" w:hAnsi="Times New Roman" w:hint="eastAsia"/>
              </w:rPr>
              <w:t>電影製作收入</w:t>
            </w:r>
          </w:p>
        </w:tc>
        <w:tc>
          <w:tcPr>
            <w:tcW w:w="2074" w:type="dxa"/>
            <w:vAlign w:val="center"/>
          </w:tcPr>
          <w:p w:rsidR="007A217A" w:rsidRPr="00565CF3" w:rsidRDefault="006C0247" w:rsidP="00957627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800080"/>
                <w:szCs w:val="26"/>
              </w:rPr>
            </w:pPr>
            <w:r>
              <w:rPr>
                <w:rFonts w:eastAsia="標楷體"/>
                <w:noProof/>
                <w:color w:val="1122CC"/>
              </w:rPr>
              <w:drawing>
                <wp:inline distT="0" distB="0" distL="0" distR="0" wp14:anchorId="45383813" wp14:editId="18CC0F04">
                  <wp:extent cx="773467" cy="971550"/>
                  <wp:effectExtent l="0" t="0" r="7620" b="0"/>
                  <wp:docPr id="5" name="rg_hi" descr="ANd9GcQXFYw2dvqG4LfjtfSosiLdzacXh_ZLUXHsvEgpQEP-v7YiYnj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XFYw2dvqG4LfjtfSosiLdzacXh_ZLUXHsvEgpQEP-v7YiYnj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38" cy="97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vAlign w:val="center"/>
          </w:tcPr>
          <w:p w:rsidR="007A217A" w:rsidRPr="00565CF3" w:rsidRDefault="000607B3" w:rsidP="00957627">
            <w:pPr>
              <w:snapToGrid w:val="0"/>
              <w:spacing w:line="240" w:lineRule="atLeast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3D</w:t>
            </w:r>
            <w:r>
              <w:rPr>
                <w:rFonts w:eastAsia="標楷體" w:hint="eastAsia"/>
                <w:szCs w:val="26"/>
              </w:rPr>
              <w:t>立體</w:t>
            </w:r>
            <w:proofErr w:type="gramStart"/>
            <w:r>
              <w:rPr>
                <w:rFonts w:eastAsia="標楷體" w:hint="eastAsia"/>
                <w:szCs w:val="26"/>
              </w:rPr>
              <w:t>偶</w:t>
            </w:r>
            <w:proofErr w:type="gramEnd"/>
            <w:r>
              <w:rPr>
                <w:rFonts w:eastAsia="標楷體" w:hint="eastAsia"/>
                <w:szCs w:val="26"/>
              </w:rPr>
              <w:t>動畫電影</w:t>
            </w:r>
          </w:p>
        </w:tc>
        <w:tc>
          <w:tcPr>
            <w:tcW w:w="1956" w:type="dxa"/>
            <w:vAlign w:val="center"/>
          </w:tcPr>
          <w:p w:rsidR="007A217A" w:rsidRPr="00565CF3" w:rsidRDefault="007A217A" w:rsidP="00957627">
            <w:pPr>
              <w:pStyle w:val="af1"/>
              <w:ind w:leftChars="0" w:left="0" w:rightChars="14" w:right="34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565CF3">
              <w:rPr>
                <w:rFonts w:ascii="Times New Roman" w:eastAsia="標楷體" w:hAnsi="Times New Roman" w:hint="eastAsia"/>
                <w:color w:val="000000"/>
              </w:rPr>
              <w:t>75,747</w:t>
            </w:r>
          </w:p>
        </w:tc>
        <w:tc>
          <w:tcPr>
            <w:tcW w:w="1528" w:type="dxa"/>
            <w:vAlign w:val="center"/>
          </w:tcPr>
          <w:p w:rsidR="007A217A" w:rsidRPr="007A217A" w:rsidRDefault="007A217A">
            <w:pPr>
              <w:jc w:val="right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16.95</w:t>
            </w:r>
          </w:p>
        </w:tc>
      </w:tr>
      <w:tr w:rsidR="007A217A" w:rsidRPr="00565CF3" w:rsidTr="00242534">
        <w:trPr>
          <w:trHeight w:val="1389"/>
        </w:trPr>
        <w:tc>
          <w:tcPr>
            <w:tcW w:w="1871" w:type="dxa"/>
            <w:vAlign w:val="center"/>
          </w:tcPr>
          <w:p w:rsidR="007A217A" w:rsidRPr="00565CF3" w:rsidRDefault="007A217A" w:rsidP="00957627">
            <w:pPr>
              <w:pStyle w:val="af1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65CF3">
              <w:rPr>
                <w:rFonts w:ascii="Times New Roman" w:eastAsia="標楷體" w:hAnsi="Times New Roman" w:hint="eastAsia"/>
              </w:rPr>
              <w:t>商品銷售收入</w:t>
            </w:r>
          </w:p>
        </w:tc>
        <w:tc>
          <w:tcPr>
            <w:tcW w:w="2074" w:type="dxa"/>
            <w:vAlign w:val="center"/>
          </w:tcPr>
          <w:p w:rsidR="007A217A" w:rsidRPr="00565CF3" w:rsidRDefault="004B0D51" w:rsidP="00242534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800080"/>
                <w:szCs w:val="26"/>
              </w:rPr>
            </w:pPr>
            <w:r>
              <w:rPr>
                <w:rFonts w:eastAsia="標楷體"/>
                <w:bCs/>
                <w:noProof/>
                <w:color w:val="800080"/>
                <w:szCs w:val="26"/>
              </w:rPr>
              <w:drawing>
                <wp:inline distT="0" distB="0" distL="0" distR="0">
                  <wp:extent cx="1104900" cy="1022138"/>
                  <wp:effectExtent l="0" t="0" r="0" b="6985"/>
                  <wp:docPr id="6" name="圖片 6" descr="C:\Documents and Settings\janeyho\Local Settings\Temporary Internet Files\Content.Outlook\FTBWX9H9\素還真公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aneyho\Local Settings\Temporary Internet Files\Content.Outlook\FTBWX9H9\素還真公仔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491"/>
                          <a:stretch/>
                        </pic:blipFill>
                        <pic:spPr bwMode="auto">
                          <a:xfrm>
                            <a:off x="0" y="0"/>
                            <a:ext cx="1117337" cy="103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vAlign w:val="center"/>
          </w:tcPr>
          <w:p w:rsidR="007A217A" w:rsidRPr="00565CF3" w:rsidRDefault="000607B3" w:rsidP="00DC0021">
            <w:pPr>
              <w:snapToGrid w:val="0"/>
              <w:spacing w:line="240" w:lineRule="atLeast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劇集</w:t>
            </w:r>
            <w:r w:rsidR="00DC0021">
              <w:rPr>
                <w:rFonts w:eastAsia="標楷體" w:hint="eastAsia"/>
                <w:szCs w:val="26"/>
              </w:rPr>
              <w:t>周</w:t>
            </w:r>
            <w:r>
              <w:rPr>
                <w:rFonts w:eastAsia="標楷體" w:hint="eastAsia"/>
                <w:szCs w:val="26"/>
              </w:rPr>
              <w:t>邊</w:t>
            </w:r>
          </w:p>
        </w:tc>
        <w:tc>
          <w:tcPr>
            <w:tcW w:w="1956" w:type="dxa"/>
            <w:vAlign w:val="center"/>
          </w:tcPr>
          <w:p w:rsidR="007A217A" w:rsidRPr="00565CF3" w:rsidRDefault="007A217A" w:rsidP="00957627">
            <w:pPr>
              <w:pStyle w:val="af1"/>
              <w:ind w:leftChars="0" w:left="0" w:rightChars="14" w:right="34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13</w:t>
            </w:r>
            <w:r>
              <w:rPr>
                <w:rFonts w:ascii="Times New Roman" w:eastAsia="標楷體" w:hAnsi="Times New Roman"/>
                <w:color w:val="000000"/>
              </w:rPr>
              <w:t>,</w:t>
            </w:r>
            <w:r>
              <w:rPr>
                <w:rFonts w:ascii="Times New Roman" w:eastAsia="標楷體" w:hAnsi="Times New Roman" w:hint="eastAsia"/>
                <w:color w:val="000000"/>
              </w:rPr>
              <w:t>550</w:t>
            </w:r>
          </w:p>
        </w:tc>
        <w:tc>
          <w:tcPr>
            <w:tcW w:w="1528" w:type="dxa"/>
            <w:vAlign w:val="center"/>
          </w:tcPr>
          <w:p w:rsidR="007A217A" w:rsidRPr="007A217A" w:rsidRDefault="007A217A">
            <w:pPr>
              <w:jc w:val="right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3.03</w:t>
            </w:r>
          </w:p>
        </w:tc>
      </w:tr>
      <w:tr w:rsidR="007A217A" w:rsidRPr="00565CF3" w:rsidTr="00D23BBA">
        <w:tc>
          <w:tcPr>
            <w:tcW w:w="1871" w:type="dxa"/>
            <w:vAlign w:val="center"/>
          </w:tcPr>
          <w:p w:rsidR="007A217A" w:rsidRPr="00565CF3" w:rsidRDefault="007A217A" w:rsidP="00957627">
            <w:pPr>
              <w:pStyle w:val="af1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65CF3">
              <w:rPr>
                <w:rFonts w:ascii="Times New Roman" w:eastAsia="標楷體" w:hAnsi="Times New Roman" w:hint="eastAsia"/>
              </w:rPr>
              <w:t>系統及廣告</w:t>
            </w:r>
            <w:proofErr w:type="gramStart"/>
            <w:r w:rsidRPr="00565CF3">
              <w:rPr>
                <w:rFonts w:ascii="Times New Roman" w:eastAsia="標楷體" w:hAnsi="Times New Roman" w:hint="eastAsia"/>
              </w:rPr>
              <w:t>託</w:t>
            </w:r>
            <w:proofErr w:type="gramEnd"/>
            <w:r w:rsidRPr="00565CF3">
              <w:rPr>
                <w:rFonts w:ascii="Times New Roman" w:eastAsia="標楷體" w:hAnsi="Times New Roman" w:hint="eastAsia"/>
              </w:rPr>
              <w:t>播收入</w:t>
            </w:r>
          </w:p>
        </w:tc>
        <w:tc>
          <w:tcPr>
            <w:tcW w:w="2074" w:type="dxa"/>
            <w:vAlign w:val="center"/>
          </w:tcPr>
          <w:p w:rsidR="007A217A" w:rsidRPr="00565CF3" w:rsidRDefault="006C0247" w:rsidP="00957627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800080"/>
                <w:szCs w:val="26"/>
              </w:rPr>
            </w:pPr>
            <w:r>
              <w:rPr>
                <w:rFonts w:eastAsia="標楷體"/>
                <w:noProof/>
                <w:color w:val="0000FF"/>
              </w:rPr>
              <w:drawing>
                <wp:inline distT="0" distB="0" distL="0" distR="0" wp14:anchorId="0C53D8F0" wp14:editId="07B61807">
                  <wp:extent cx="1066800" cy="342900"/>
                  <wp:effectExtent l="0" t="0" r="0" b="0"/>
                  <wp:docPr id="7" name="圖片 7" descr="霹靂台灣台">
                    <a:hlinkClick xmlns:a="http://schemas.openxmlformats.org/drawingml/2006/main" r:id="rId22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霹靂台灣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dxa"/>
            <w:vAlign w:val="center"/>
          </w:tcPr>
          <w:p w:rsidR="007A217A" w:rsidRPr="00565CF3" w:rsidRDefault="000607B3" w:rsidP="00957627">
            <w:pPr>
              <w:snapToGrid w:val="0"/>
              <w:spacing w:line="240" w:lineRule="atLeast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</w:rPr>
              <w:t>霹靂電視台節目授權與廣告代理權</w:t>
            </w:r>
          </w:p>
        </w:tc>
        <w:tc>
          <w:tcPr>
            <w:tcW w:w="1956" w:type="dxa"/>
            <w:vAlign w:val="center"/>
          </w:tcPr>
          <w:p w:rsidR="007A217A" w:rsidRPr="00565CF3" w:rsidRDefault="007A217A" w:rsidP="00957627">
            <w:pPr>
              <w:pStyle w:val="af1"/>
              <w:ind w:leftChars="0" w:left="0" w:rightChars="14" w:right="34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565CF3">
              <w:rPr>
                <w:rFonts w:ascii="Times New Roman" w:eastAsia="標楷體" w:hAnsi="Times New Roman" w:hint="eastAsia"/>
                <w:color w:val="000000"/>
              </w:rPr>
              <w:t>57,600</w:t>
            </w:r>
          </w:p>
        </w:tc>
        <w:tc>
          <w:tcPr>
            <w:tcW w:w="1528" w:type="dxa"/>
            <w:vAlign w:val="center"/>
          </w:tcPr>
          <w:p w:rsidR="007A217A" w:rsidRPr="007A217A" w:rsidRDefault="007A217A">
            <w:pPr>
              <w:jc w:val="right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12.89</w:t>
            </w:r>
          </w:p>
        </w:tc>
      </w:tr>
      <w:tr w:rsidR="007A217A" w:rsidRPr="00565CF3" w:rsidTr="00D23BBA">
        <w:tc>
          <w:tcPr>
            <w:tcW w:w="1871" w:type="dxa"/>
            <w:vAlign w:val="center"/>
          </w:tcPr>
          <w:p w:rsidR="007A217A" w:rsidRPr="00565CF3" w:rsidRDefault="007A217A" w:rsidP="00957627">
            <w:pPr>
              <w:pStyle w:val="af1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65CF3">
              <w:rPr>
                <w:rFonts w:ascii="Times New Roman" w:eastAsia="標楷體" w:hAnsi="Times New Roman" w:hint="eastAsia"/>
              </w:rPr>
              <w:t>授權收入</w:t>
            </w:r>
          </w:p>
        </w:tc>
        <w:tc>
          <w:tcPr>
            <w:tcW w:w="2074" w:type="dxa"/>
            <w:vAlign w:val="center"/>
          </w:tcPr>
          <w:p w:rsidR="007A217A" w:rsidRPr="00242534" w:rsidRDefault="007A217A" w:rsidP="00957627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Cs w:val="26"/>
              </w:rPr>
            </w:pPr>
            <w:r w:rsidRPr="00242534">
              <w:rPr>
                <w:rFonts w:eastAsia="標楷體" w:hint="eastAsia"/>
                <w:b/>
                <w:bCs/>
                <w:szCs w:val="26"/>
              </w:rPr>
              <w:t>-</w:t>
            </w:r>
          </w:p>
        </w:tc>
        <w:tc>
          <w:tcPr>
            <w:tcW w:w="2497" w:type="dxa"/>
            <w:vAlign w:val="center"/>
          </w:tcPr>
          <w:p w:rsidR="007A217A" w:rsidRPr="00CC0AFA" w:rsidRDefault="00CC0AFA" w:rsidP="00CC0AFA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CC0AFA">
              <w:rPr>
                <w:rFonts w:eastAsia="標楷體" w:hint="eastAsia"/>
              </w:rPr>
              <w:t>肖像、影音、出租品等授權收入</w:t>
            </w:r>
          </w:p>
        </w:tc>
        <w:tc>
          <w:tcPr>
            <w:tcW w:w="1956" w:type="dxa"/>
            <w:vAlign w:val="center"/>
          </w:tcPr>
          <w:p w:rsidR="007A217A" w:rsidRPr="00CC0AFA" w:rsidRDefault="007A217A" w:rsidP="00307D3A">
            <w:pPr>
              <w:pStyle w:val="af1"/>
              <w:ind w:leftChars="0" w:left="0" w:rightChars="14" w:right="34"/>
              <w:jc w:val="right"/>
              <w:rPr>
                <w:rFonts w:ascii="Times New Roman" w:eastAsia="標楷體" w:hAnsi="Times New Roman"/>
                <w:szCs w:val="24"/>
              </w:rPr>
            </w:pPr>
            <w:r w:rsidRPr="00CC0AFA">
              <w:rPr>
                <w:rFonts w:ascii="Times New Roman" w:eastAsia="標楷體" w:hAnsi="Times New Roman" w:hint="eastAsia"/>
                <w:szCs w:val="24"/>
              </w:rPr>
              <w:t>19,091</w:t>
            </w:r>
          </w:p>
        </w:tc>
        <w:tc>
          <w:tcPr>
            <w:tcW w:w="1528" w:type="dxa"/>
            <w:vAlign w:val="center"/>
          </w:tcPr>
          <w:p w:rsidR="007A217A" w:rsidRPr="007A217A" w:rsidRDefault="007A217A">
            <w:pPr>
              <w:jc w:val="right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4.27</w:t>
            </w:r>
          </w:p>
        </w:tc>
      </w:tr>
      <w:tr w:rsidR="007A217A" w:rsidRPr="00565CF3" w:rsidTr="00D23BBA">
        <w:tc>
          <w:tcPr>
            <w:tcW w:w="1871" w:type="dxa"/>
            <w:vAlign w:val="center"/>
          </w:tcPr>
          <w:p w:rsidR="007A217A" w:rsidRPr="00565CF3" w:rsidRDefault="007A217A" w:rsidP="00957627">
            <w:pPr>
              <w:pStyle w:val="af1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565CF3">
              <w:rPr>
                <w:rFonts w:ascii="Times New Roman" w:eastAsia="標楷體" w:hAnsi="Times New Roman" w:hint="eastAsia"/>
              </w:rPr>
              <w:t>其他營業收入</w:t>
            </w:r>
          </w:p>
        </w:tc>
        <w:tc>
          <w:tcPr>
            <w:tcW w:w="2074" w:type="dxa"/>
            <w:vAlign w:val="center"/>
          </w:tcPr>
          <w:p w:rsidR="007A217A" w:rsidRPr="00242534" w:rsidRDefault="007A217A" w:rsidP="00957627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Cs w:val="26"/>
              </w:rPr>
            </w:pPr>
            <w:r w:rsidRPr="00242534">
              <w:rPr>
                <w:rFonts w:eastAsia="標楷體" w:hint="eastAsia"/>
                <w:b/>
                <w:bCs/>
                <w:szCs w:val="26"/>
              </w:rPr>
              <w:t>-</w:t>
            </w:r>
          </w:p>
        </w:tc>
        <w:tc>
          <w:tcPr>
            <w:tcW w:w="2497" w:type="dxa"/>
            <w:vAlign w:val="center"/>
          </w:tcPr>
          <w:p w:rsidR="007A217A" w:rsidRPr="00565CF3" w:rsidRDefault="007A217A" w:rsidP="00957627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8000"/>
                <w:szCs w:val="26"/>
              </w:rPr>
            </w:pPr>
            <w:r w:rsidRPr="00565CF3">
              <w:rPr>
                <w:rFonts w:eastAsia="標楷體" w:hint="eastAsia"/>
                <w:b/>
                <w:bCs/>
                <w:color w:val="008000"/>
                <w:szCs w:val="26"/>
              </w:rPr>
              <w:t>-</w:t>
            </w:r>
          </w:p>
        </w:tc>
        <w:tc>
          <w:tcPr>
            <w:tcW w:w="1956" w:type="dxa"/>
            <w:vAlign w:val="center"/>
          </w:tcPr>
          <w:p w:rsidR="007A217A" w:rsidRPr="00565CF3" w:rsidRDefault="007A217A" w:rsidP="00957627">
            <w:pPr>
              <w:pStyle w:val="af1"/>
              <w:ind w:leftChars="0" w:left="0" w:rightChars="14" w:right="34"/>
              <w:jc w:val="right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8,821</w:t>
            </w:r>
          </w:p>
        </w:tc>
        <w:tc>
          <w:tcPr>
            <w:tcW w:w="1528" w:type="dxa"/>
            <w:vAlign w:val="center"/>
          </w:tcPr>
          <w:p w:rsidR="007A217A" w:rsidRPr="007A217A" w:rsidRDefault="00052099">
            <w:pPr>
              <w:jc w:val="right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1.9</w:t>
            </w:r>
            <w:r>
              <w:rPr>
                <w:rFonts w:eastAsia="標楷體" w:hint="eastAsia"/>
                <w:color w:val="000000"/>
                <w:szCs w:val="26"/>
              </w:rPr>
              <w:t>8</w:t>
            </w:r>
          </w:p>
        </w:tc>
      </w:tr>
      <w:tr w:rsidR="007A217A" w:rsidRPr="00565CF3" w:rsidTr="00D23BBA">
        <w:trPr>
          <w:cantSplit/>
        </w:trPr>
        <w:tc>
          <w:tcPr>
            <w:tcW w:w="6442" w:type="dxa"/>
            <w:gridSpan w:val="3"/>
            <w:shd w:val="clear" w:color="auto" w:fill="F9F9F9"/>
          </w:tcPr>
          <w:p w:rsidR="007A217A" w:rsidRPr="00565CF3" w:rsidRDefault="007A217A">
            <w:pPr>
              <w:jc w:val="both"/>
              <w:rPr>
                <w:rFonts w:eastAsia="標楷體"/>
              </w:rPr>
            </w:pPr>
            <w:r w:rsidRPr="00565CF3">
              <w:rPr>
                <w:rFonts w:eastAsia="標楷體"/>
              </w:rPr>
              <w:t>合</w:t>
            </w:r>
            <w:r w:rsidRPr="00565CF3">
              <w:rPr>
                <w:rFonts w:eastAsia="標楷體" w:hint="eastAsia"/>
              </w:rPr>
              <w:t xml:space="preserve">     </w:t>
            </w:r>
            <w:r w:rsidRPr="00565CF3">
              <w:rPr>
                <w:rFonts w:eastAsia="標楷體"/>
              </w:rPr>
              <w:t>計</w:t>
            </w:r>
          </w:p>
        </w:tc>
        <w:tc>
          <w:tcPr>
            <w:tcW w:w="1956" w:type="dxa"/>
            <w:vAlign w:val="center"/>
          </w:tcPr>
          <w:p w:rsidR="007A217A" w:rsidRPr="00E01C36" w:rsidRDefault="007A217A" w:rsidP="00E01C36">
            <w:pPr>
              <w:pStyle w:val="af1"/>
              <w:ind w:leftChars="0" w:left="0" w:rightChars="14" w:right="34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E01C36">
              <w:rPr>
                <w:rFonts w:ascii="Times New Roman" w:eastAsia="標楷體" w:hAnsi="Times New Roman" w:hint="eastAsia"/>
                <w:color w:val="000000"/>
              </w:rPr>
              <w:t>446,837</w:t>
            </w:r>
          </w:p>
        </w:tc>
        <w:tc>
          <w:tcPr>
            <w:tcW w:w="1528" w:type="dxa"/>
            <w:vAlign w:val="center"/>
          </w:tcPr>
          <w:p w:rsidR="007A217A" w:rsidRPr="00E01C36" w:rsidRDefault="007A217A" w:rsidP="00E01C36">
            <w:pPr>
              <w:pStyle w:val="af1"/>
              <w:ind w:leftChars="0" w:left="0" w:rightChars="14" w:right="34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E01C36">
              <w:rPr>
                <w:rFonts w:ascii="Times New Roman" w:eastAsia="標楷體" w:hAnsi="Times New Roman" w:hint="eastAsia"/>
                <w:color w:val="000000"/>
              </w:rPr>
              <w:t>100.00</w:t>
            </w:r>
          </w:p>
        </w:tc>
      </w:tr>
    </w:tbl>
    <w:p w:rsidR="00161123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                                               </w:t>
      </w:r>
      <w:r w:rsidR="006C0247">
        <w:rPr>
          <w:rFonts w:ascii="新細明體" w:hAnsi="新細明體" w:hint="eastAsia"/>
          <w:noProof/>
        </w:rPr>
        <w:drawing>
          <wp:inline distT="0" distB="0" distL="0" distR="0">
            <wp:extent cx="409575" cy="152400"/>
            <wp:effectExtent l="0" t="0" r="9525" b="0"/>
            <wp:docPr id="8" name="圖片 8" descr="icon_to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_to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6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012"/>
        <w:gridCol w:w="1134"/>
        <w:gridCol w:w="1276"/>
        <w:gridCol w:w="1275"/>
        <w:gridCol w:w="1276"/>
        <w:gridCol w:w="1276"/>
        <w:gridCol w:w="1651"/>
      </w:tblGrid>
      <w:tr w:rsidR="00161123" w:rsidTr="00077EF1">
        <w:trPr>
          <w:cantSplit/>
          <w:trHeight w:hRule="exact" w:val="1092"/>
        </w:trPr>
        <w:tc>
          <w:tcPr>
            <w:tcW w:w="1046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bookmarkStart w:id="5" w:name="最近五年度簡明損益表及申請年度截至最近月份止之自結損益表"/>
          <w:bookmarkEnd w:id="5"/>
          <w:p w:rsidR="00161123" w:rsidRDefault="006C0247">
            <w:pPr>
              <w:ind w:firstLineChars="500" w:firstLine="1200"/>
              <w:rPr>
                <w:rFonts w:eastAsia="標楷體"/>
                <w:b/>
                <w:bCs/>
                <w:sz w:val="28"/>
              </w:rPr>
            </w:pPr>
            <w:r>
              <w:rPr>
                <w:rFonts w:ascii="新細明體" w:hAnsi="新細明體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3A1B429" wp14:editId="4D8986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-6985</wp:posOffset>
                      </wp:positionV>
                      <wp:extent cx="6642100" cy="685165"/>
                      <wp:effectExtent l="0" t="2540" r="0" b="0"/>
                      <wp:wrapNone/>
                      <wp:docPr id="13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851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1123" w:rsidRDefault="00161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0" type="#_x0000_t202" style="position:absolute;left:0;text-align:left;margin-left:0;margin-top:-.55pt;width:523pt;height:53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" fillcolor="#ededed" stroked="f">
                      <v:fill rotate="t" focus="50%" type="gradient"/>
                      <v:textbox>
                        <w:txbxContent>
                          <w:p w:rsidR="00161123" w:rsidRDefault="00161123"/>
                        </w:txbxContent>
                      </v:textbox>
                    </v:shape>
                  </w:pict>
                </mc:Fallback>
              </mc:AlternateContent>
            </w:r>
            <w:r w:rsidR="00161123">
              <w:rPr>
                <w:rFonts w:eastAsia="標楷體" w:hAnsi="標楷體"/>
                <w:b/>
                <w:bCs/>
                <w:sz w:val="28"/>
              </w:rPr>
              <w:t>最近</w:t>
            </w:r>
            <w:proofErr w:type="gramStart"/>
            <w:r w:rsidR="00161123">
              <w:rPr>
                <w:rFonts w:eastAsia="標楷體" w:hAnsi="標楷體"/>
                <w:b/>
                <w:bCs/>
                <w:sz w:val="28"/>
              </w:rPr>
              <w:t>五</w:t>
            </w:r>
            <w:proofErr w:type="gramEnd"/>
            <w:r w:rsidR="00161123">
              <w:rPr>
                <w:rFonts w:eastAsia="標楷體" w:hAnsi="標楷體"/>
                <w:b/>
                <w:bCs/>
                <w:sz w:val="28"/>
              </w:rPr>
              <w:t>年度簡明損益表及申請年度截至最近月份止之</w:t>
            </w:r>
            <w:r w:rsidR="00161123" w:rsidRPr="0020043D">
              <w:rPr>
                <w:rFonts w:eastAsia="標楷體" w:hAnsi="標楷體"/>
                <w:b/>
                <w:bCs/>
                <w:sz w:val="28"/>
                <w:u w:val="single"/>
              </w:rPr>
              <w:t>自結</w:t>
            </w:r>
            <w:r w:rsidR="00161123">
              <w:rPr>
                <w:rFonts w:eastAsia="標楷體" w:hAnsi="標楷體"/>
                <w:b/>
                <w:bCs/>
                <w:sz w:val="28"/>
              </w:rPr>
              <w:t>損益表</w:t>
            </w:r>
            <w:r w:rsidR="00161123">
              <w:rPr>
                <w:rFonts w:eastAsia="標楷體"/>
                <w:b/>
                <w:bCs/>
                <w:sz w:val="28"/>
              </w:rPr>
              <w:t xml:space="preserve">  </w:t>
            </w:r>
          </w:p>
          <w:p w:rsidR="00161123" w:rsidRDefault="00161123">
            <w:pPr>
              <w:ind w:firstLineChars="3500" w:firstLine="8400"/>
              <w:rPr>
                <w:rFonts w:eastAsia="標楷體"/>
              </w:rPr>
            </w:pPr>
            <w:r>
              <w:rPr>
                <w:rFonts w:eastAsia="標楷體" w:hAnsi="標楷體"/>
              </w:rPr>
              <w:t>單位：新台幣仟元</w:t>
            </w:r>
            <w:r>
              <w:rPr>
                <w:rFonts w:eastAsia="標楷體"/>
              </w:rPr>
              <w:t xml:space="preserve">                      </w:t>
            </w:r>
          </w:p>
        </w:tc>
      </w:tr>
      <w:tr w:rsidR="001C242B" w:rsidTr="00077EF1">
        <w:trPr>
          <w:trHeight w:val="978"/>
        </w:trPr>
        <w:tc>
          <w:tcPr>
            <w:tcW w:w="2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1C242B" w:rsidRDefault="001C242B" w:rsidP="00565CF3">
            <w:pPr>
              <w:spacing w:line="320" w:lineRule="exact"/>
              <w:ind w:left="57" w:right="57"/>
              <w:jc w:val="right"/>
              <w:rPr>
                <w:rFonts w:eastAsia="標楷體"/>
              </w:rPr>
            </w:pPr>
            <w:r>
              <w:rPr>
                <w:rFonts w:eastAsia="標楷體" w:hAnsi="標楷體"/>
              </w:rPr>
              <w:t>年度</w:t>
            </w:r>
          </w:p>
          <w:p w:rsidR="001C242B" w:rsidRDefault="001C242B" w:rsidP="00565CF3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Ansi="標楷體"/>
              </w:rPr>
              <w:t>項目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A364DF" w:rsidRDefault="001C242B" w:rsidP="00565CF3">
            <w:pPr>
              <w:spacing w:line="320" w:lineRule="exact"/>
              <w:jc w:val="center"/>
              <w:rPr>
                <w:rFonts w:eastAsia="標楷體"/>
              </w:rPr>
            </w:pPr>
            <w:r w:rsidRPr="00A364DF">
              <w:rPr>
                <w:rFonts w:eastAsia="標楷體" w:hint="eastAsia"/>
              </w:rPr>
              <w:t>97</w:t>
            </w:r>
            <w:r w:rsidRPr="00A364DF">
              <w:rPr>
                <w:rFonts w:eastAsia="標楷體"/>
              </w:rPr>
              <w:t>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A364DF" w:rsidRDefault="001C242B" w:rsidP="00565CF3">
            <w:pPr>
              <w:spacing w:line="320" w:lineRule="exact"/>
              <w:jc w:val="center"/>
              <w:rPr>
                <w:rFonts w:eastAsia="標楷體"/>
              </w:rPr>
            </w:pPr>
            <w:r w:rsidRPr="00A364DF">
              <w:rPr>
                <w:rFonts w:eastAsia="標楷體" w:hint="eastAsia"/>
              </w:rPr>
              <w:t>98</w:t>
            </w:r>
            <w:r w:rsidRPr="00A364DF">
              <w:rPr>
                <w:rFonts w:eastAsia="標楷體"/>
              </w:rPr>
              <w:t>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A364DF" w:rsidRDefault="001C242B" w:rsidP="00565CF3">
            <w:pPr>
              <w:spacing w:line="320" w:lineRule="exact"/>
              <w:jc w:val="center"/>
              <w:rPr>
                <w:rFonts w:eastAsia="標楷體"/>
              </w:rPr>
            </w:pPr>
            <w:r w:rsidRPr="00A364DF">
              <w:rPr>
                <w:rFonts w:eastAsia="標楷體" w:hint="eastAsia"/>
              </w:rPr>
              <w:t>99</w:t>
            </w:r>
            <w:r w:rsidRPr="00A364DF">
              <w:rPr>
                <w:rFonts w:eastAsia="標楷體"/>
              </w:rPr>
              <w:t>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A364DF" w:rsidRDefault="001C242B" w:rsidP="00565CF3">
            <w:pPr>
              <w:spacing w:line="320" w:lineRule="exact"/>
              <w:jc w:val="center"/>
              <w:rPr>
                <w:rFonts w:eastAsia="標楷體"/>
              </w:rPr>
            </w:pPr>
            <w:r w:rsidRPr="00A364DF">
              <w:rPr>
                <w:rFonts w:eastAsia="標楷體" w:hint="eastAsia"/>
              </w:rPr>
              <w:t>100</w:t>
            </w:r>
            <w:r w:rsidRPr="00A364DF">
              <w:rPr>
                <w:rFonts w:eastAsia="標楷體" w:hint="eastAsia"/>
              </w:rPr>
              <w:t>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42B" w:rsidRPr="00A364DF" w:rsidRDefault="001C242B" w:rsidP="00565CF3">
            <w:pPr>
              <w:spacing w:line="320" w:lineRule="exact"/>
              <w:jc w:val="center"/>
              <w:rPr>
                <w:rFonts w:eastAsia="標楷體"/>
              </w:rPr>
            </w:pPr>
            <w:r w:rsidRPr="00A364DF">
              <w:rPr>
                <w:rFonts w:eastAsia="標楷體" w:hint="eastAsia"/>
              </w:rPr>
              <w:t>101</w:t>
            </w:r>
            <w:r w:rsidRPr="00A364DF">
              <w:rPr>
                <w:rFonts w:eastAsia="標楷體" w:hint="eastAsia"/>
              </w:rPr>
              <w:t>年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42B" w:rsidRDefault="001C242B" w:rsidP="00565CF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</w:t>
            </w:r>
            <w:r>
              <w:rPr>
                <w:rFonts w:eastAsia="標楷體" w:hAnsi="標楷體"/>
              </w:rPr>
              <w:t>年</w:t>
            </w:r>
            <w:proofErr w:type="gramStart"/>
            <w:r>
              <w:rPr>
                <w:rFonts w:eastAsia="標楷體" w:hAnsi="標楷體"/>
              </w:rPr>
              <w:t>截</w:t>
            </w:r>
            <w:proofErr w:type="gramEnd"/>
          </w:p>
          <w:p w:rsidR="001C242B" w:rsidRDefault="001C242B" w:rsidP="00565CF3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至</w:t>
            </w:r>
            <w:r w:rsidR="007975D8">
              <w:rPr>
                <w:rFonts w:eastAsia="標楷體" w:hint="eastAsia"/>
                <w:u w:val="single"/>
              </w:rPr>
              <w:t>8</w:t>
            </w:r>
            <w:r>
              <w:rPr>
                <w:rFonts w:eastAsia="標楷體" w:hAnsi="標楷體"/>
              </w:rPr>
              <w:t>月份</w:t>
            </w:r>
            <w:proofErr w:type="gramStart"/>
            <w:r>
              <w:rPr>
                <w:rFonts w:eastAsia="標楷體" w:hAnsi="標楷體"/>
              </w:rPr>
              <w:t>止</w:t>
            </w:r>
            <w:proofErr w:type="gramEnd"/>
          </w:p>
          <w:p w:rsidR="001C242B" w:rsidRPr="0020043D" w:rsidRDefault="001C242B" w:rsidP="00565CF3">
            <w:pPr>
              <w:spacing w:line="320" w:lineRule="exact"/>
              <w:jc w:val="center"/>
              <w:rPr>
                <w:rFonts w:eastAsia="標楷體"/>
                <w:b/>
                <w:u w:val="single"/>
              </w:rPr>
            </w:pPr>
            <w:r w:rsidRPr="0020043D">
              <w:rPr>
                <w:rFonts w:eastAsia="標楷體" w:hAnsi="標楷體" w:hint="eastAsia"/>
                <w:b/>
                <w:u w:val="single"/>
              </w:rPr>
              <w:t>(</w:t>
            </w:r>
            <w:r w:rsidRPr="0020043D">
              <w:rPr>
                <w:rFonts w:eastAsia="標楷體" w:hAnsi="標楷體" w:hint="eastAsia"/>
                <w:b/>
                <w:u w:val="single"/>
              </w:rPr>
              <w:t>自結數</w:t>
            </w:r>
            <w:r w:rsidRPr="0020043D">
              <w:rPr>
                <w:rFonts w:eastAsia="標楷體" w:hAnsi="標楷體" w:hint="eastAsia"/>
                <w:b/>
                <w:u w:val="single"/>
              </w:rPr>
              <w:t>)</w:t>
            </w:r>
            <w:r w:rsidRPr="001218BC">
              <w:rPr>
                <w:rFonts w:ascii="標楷體" w:eastAsia="標楷體" w:hAnsi="標楷體" w:hint="eastAsia"/>
                <w:b/>
              </w:rPr>
              <w:t xml:space="preserve"> </w:t>
            </w:r>
            <w:r w:rsidRPr="00B20356">
              <w:rPr>
                <w:rFonts w:eastAsia="標楷體" w:hint="eastAsia"/>
                <w:b/>
              </w:rPr>
              <w:t>(</w:t>
            </w:r>
            <w:proofErr w:type="gramStart"/>
            <w:r w:rsidRPr="00B20356">
              <w:rPr>
                <w:rFonts w:eastAsia="標楷體" w:hint="eastAsia"/>
                <w:b/>
              </w:rPr>
              <w:t>註</w:t>
            </w:r>
            <w:proofErr w:type="gramEnd"/>
            <w:r w:rsidR="00B05092">
              <w:rPr>
                <w:rFonts w:eastAsia="標楷體" w:hint="eastAsia"/>
                <w:b/>
              </w:rPr>
              <w:t>2</w:t>
            </w:r>
            <w:r w:rsidRPr="00B20356">
              <w:rPr>
                <w:rFonts w:eastAsia="標楷體" w:hint="eastAsia"/>
                <w:b/>
              </w:rPr>
              <w:t>)</w:t>
            </w:r>
          </w:p>
        </w:tc>
      </w:tr>
      <w:tr w:rsidR="001C242B" w:rsidTr="00077EF1">
        <w:tc>
          <w:tcPr>
            <w:tcW w:w="2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Default="001C242B" w:rsidP="00044733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營業收入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329,051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298,800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412,362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437,469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446,837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42B" w:rsidRDefault="0064437B" w:rsidP="00044733">
            <w:pPr>
              <w:spacing w:line="360" w:lineRule="exact"/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350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207</w:t>
            </w:r>
          </w:p>
        </w:tc>
      </w:tr>
      <w:tr w:rsidR="001C242B" w:rsidTr="00077EF1">
        <w:tc>
          <w:tcPr>
            <w:tcW w:w="2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Default="001C242B" w:rsidP="00044733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營業毛利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171,538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146,821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254,537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223,075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223,735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42B" w:rsidRDefault="0064437B" w:rsidP="00044733">
            <w:pPr>
              <w:spacing w:line="360" w:lineRule="exact"/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158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524</w:t>
            </w:r>
          </w:p>
        </w:tc>
      </w:tr>
      <w:tr w:rsidR="001C242B" w:rsidTr="00077EF1">
        <w:tc>
          <w:tcPr>
            <w:tcW w:w="2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Default="001C242B" w:rsidP="00044733">
            <w:pPr>
              <w:spacing w:line="36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毛利率</w:t>
            </w:r>
            <w:r>
              <w:rPr>
                <w:rFonts w:eastAsia="標楷體" w:hAnsi="標楷體" w:hint="eastAsia"/>
              </w:rPr>
              <w:t>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Default="001C242B" w:rsidP="00044733">
            <w:pPr>
              <w:spacing w:line="36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52.13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Default="001C242B" w:rsidP="00044733">
            <w:pPr>
              <w:spacing w:line="36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49.14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Default="001C242B" w:rsidP="00044733">
            <w:pPr>
              <w:spacing w:line="36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61.73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Default="001C242B" w:rsidP="00044733">
            <w:pPr>
              <w:spacing w:line="36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50.99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42B" w:rsidRDefault="001C242B" w:rsidP="00044733">
            <w:pPr>
              <w:spacing w:line="36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50.07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42B" w:rsidRDefault="0064437B" w:rsidP="00044733">
            <w:pPr>
              <w:spacing w:line="360" w:lineRule="exact"/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45.27</w:t>
            </w:r>
          </w:p>
        </w:tc>
      </w:tr>
      <w:tr w:rsidR="001C242B" w:rsidTr="00077EF1">
        <w:tc>
          <w:tcPr>
            <w:tcW w:w="2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Default="001C242B" w:rsidP="00044733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營業外收入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18,568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35,531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5E2BDC" w:rsidP="00044733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52,193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54,334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62,046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42B" w:rsidRDefault="00CC07DE" w:rsidP="00044733">
            <w:pPr>
              <w:spacing w:line="360" w:lineRule="exact"/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28,270</w:t>
            </w:r>
          </w:p>
        </w:tc>
      </w:tr>
      <w:tr w:rsidR="001C242B" w:rsidTr="00077EF1">
        <w:tc>
          <w:tcPr>
            <w:tcW w:w="2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Default="001C242B" w:rsidP="00044733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營業外支出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50,968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3,132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2,665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1,046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4,625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42B" w:rsidRDefault="0064437B" w:rsidP="00044733">
            <w:pPr>
              <w:spacing w:line="360" w:lineRule="exact"/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</w:tr>
      <w:tr w:rsidR="001C242B" w:rsidTr="00077EF1">
        <w:tc>
          <w:tcPr>
            <w:tcW w:w="2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Default="001C242B" w:rsidP="00044733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稅前損益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74,643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109,679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5E2BDC" w:rsidP="00044733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227,525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202,621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208,740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42B" w:rsidRDefault="00CC07DE" w:rsidP="00044733">
            <w:pPr>
              <w:spacing w:line="360" w:lineRule="exact"/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135,856</w:t>
            </w:r>
          </w:p>
        </w:tc>
      </w:tr>
      <w:tr w:rsidR="001C242B" w:rsidTr="00077EF1">
        <w:tc>
          <w:tcPr>
            <w:tcW w:w="2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Default="001C242B" w:rsidP="00044733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稅後損益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36,106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95,690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1</w:t>
            </w:r>
            <w:r w:rsidR="005E2BDC">
              <w:rPr>
                <w:rFonts w:eastAsia="標楷體" w:hint="eastAsia"/>
              </w:rPr>
              <w:t>79,722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171,968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175,558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42B" w:rsidRDefault="00CC07DE" w:rsidP="00044733">
            <w:pPr>
              <w:spacing w:line="360" w:lineRule="exact"/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113,552</w:t>
            </w:r>
          </w:p>
        </w:tc>
      </w:tr>
      <w:tr w:rsidR="001C242B" w:rsidTr="00077EF1">
        <w:tc>
          <w:tcPr>
            <w:tcW w:w="25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Default="001C242B" w:rsidP="00044733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每股盈餘（元）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2.41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6.38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11.98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8.86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242B" w:rsidRPr="002F12E8" w:rsidRDefault="001C242B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4.67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42B" w:rsidRDefault="0064437B" w:rsidP="00A6281E">
            <w:pPr>
              <w:spacing w:line="360" w:lineRule="exact"/>
              <w:ind w:right="57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2.9</w:t>
            </w:r>
            <w:r w:rsidR="00A6281E">
              <w:rPr>
                <w:rFonts w:eastAsia="標楷體" w:hint="eastAsia"/>
              </w:rPr>
              <w:t>1</w:t>
            </w:r>
          </w:p>
        </w:tc>
      </w:tr>
      <w:tr w:rsidR="00CC1A31" w:rsidTr="00077EF1">
        <w:trPr>
          <w:cantSplit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A31" w:rsidRDefault="00CC1A31" w:rsidP="00044733">
            <w:pPr>
              <w:spacing w:line="36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股利發放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31" w:rsidRDefault="00CC1A31" w:rsidP="00044733">
            <w:pPr>
              <w:spacing w:line="36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現金股利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31" w:rsidRPr="002F12E8" w:rsidRDefault="00CC1A31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31" w:rsidRPr="002F12E8" w:rsidRDefault="00CC1A31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31" w:rsidRPr="002F12E8" w:rsidRDefault="00CC1A31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31" w:rsidRPr="00A364DF" w:rsidRDefault="00CC1A31" w:rsidP="00044733">
            <w:pPr>
              <w:spacing w:line="36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7.74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A31" w:rsidRPr="00A364DF" w:rsidRDefault="00CC1A31" w:rsidP="00044733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3.10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1A31" w:rsidRPr="002F12E8" w:rsidRDefault="00CC1A31" w:rsidP="00E1101D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-</w:t>
            </w:r>
          </w:p>
        </w:tc>
      </w:tr>
      <w:tr w:rsidR="00CC1A31" w:rsidTr="00077EF1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A31" w:rsidRDefault="00CC1A31" w:rsidP="00044733">
            <w:pPr>
              <w:spacing w:line="36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31" w:rsidRDefault="00CC1A31" w:rsidP="00044733">
            <w:pPr>
              <w:spacing w:line="360" w:lineRule="exac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股票股利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資本公積轉增資</w:t>
            </w:r>
            <w:r>
              <w:rPr>
                <w:rFonts w:eastAsia="標楷體" w:hAnsi="標楷體" w:hint="eastAsia"/>
              </w:rPr>
              <w:t>)(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31" w:rsidRPr="002F12E8" w:rsidRDefault="00CC1A31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31" w:rsidRPr="002F12E8" w:rsidRDefault="00CC1A31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31" w:rsidRPr="002F12E8" w:rsidRDefault="00CC1A31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31" w:rsidRPr="00A364DF" w:rsidRDefault="00CC1A31" w:rsidP="00044733">
            <w:pPr>
              <w:spacing w:line="36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2.50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A31" w:rsidRPr="00A364DF" w:rsidRDefault="00CC1A31" w:rsidP="00044733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1A31" w:rsidRPr="002F12E8" w:rsidRDefault="00CC1A31" w:rsidP="00E1101D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-</w:t>
            </w:r>
          </w:p>
        </w:tc>
      </w:tr>
      <w:tr w:rsidR="00CC1A31" w:rsidTr="00077EF1">
        <w:trPr>
          <w:cantSplit/>
        </w:trPr>
        <w:tc>
          <w:tcPr>
            <w:tcW w:w="568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A31" w:rsidRDefault="00CC1A31" w:rsidP="00044733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31" w:rsidRDefault="00CC1A31" w:rsidP="00044733">
            <w:pPr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股票股利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盈餘轉增資</w:t>
            </w:r>
            <w:r>
              <w:rPr>
                <w:rFonts w:eastAsia="標楷體" w:hAnsi="標楷體" w:hint="eastAsia"/>
              </w:rPr>
              <w:t>)(</w:t>
            </w:r>
            <w:r>
              <w:rPr>
                <w:rFonts w:eastAsia="標楷體" w:hAnsi="標楷體" w:hint="eastAsia"/>
              </w:rPr>
              <w:t>元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31" w:rsidRPr="002F12E8" w:rsidRDefault="00CC1A31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31" w:rsidRPr="002F12E8" w:rsidRDefault="00CC1A31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A31" w:rsidRPr="002F12E8" w:rsidRDefault="00CC1A31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A31" w:rsidRPr="00A364DF" w:rsidRDefault="00CC1A31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A364DF">
              <w:rPr>
                <w:rFonts w:eastAsia="標楷體" w:hint="eastAsi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1A31" w:rsidRPr="00A364DF" w:rsidRDefault="00CC1A31" w:rsidP="00044733">
            <w:pPr>
              <w:spacing w:line="360" w:lineRule="exact"/>
              <w:jc w:val="right"/>
              <w:rPr>
                <w:rFonts w:eastAsia="標楷體"/>
              </w:rPr>
            </w:pPr>
            <w:r w:rsidRPr="00A364DF">
              <w:rPr>
                <w:rFonts w:eastAsia="標楷體" w:hint="eastAsia"/>
              </w:rP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1A31" w:rsidRPr="002F12E8" w:rsidRDefault="00CC1A31" w:rsidP="00E1101D">
            <w:pPr>
              <w:spacing w:line="360" w:lineRule="exact"/>
              <w:jc w:val="right"/>
              <w:rPr>
                <w:rFonts w:eastAsia="標楷體"/>
              </w:rPr>
            </w:pPr>
            <w:r w:rsidRPr="002F12E8">
              <w:rPr>
                <w:rFonts w:eastAsia="標楷體" w:hint="eastAsia"/>
              </w:rPr>
              <w:t>-</w:t>
            </w:r>
          </w:p>
        </w:tc>
      </w:tr>
    </w:tbl>
    <w:p w:rsidR="00B05092" w:rsidRPr="00B05092" w:rsidRDefault="00B05092" w:rsidP="00077EF1">
      <w:pPr>
        <w:pStyle w:val="Web"/>
        <w:widowControl w:val="0"/>
        <w:spacing w:before="0" w:beforeAutospacing="0" w:after="0" w:afterAutospacing="0" w:line="320" w:lineRule="exact"/>
        <w:ind w:leftChars="-118" w:left="426" w:rightChars="-236" w:right="-566" w:hangingChars="295" w:hanging="709"/>
        <w:rPr>
          <w:rFonts w:ascii="Times New Roman" w:eastAsia="標楷體" w:hAnsi="Times New Roman" w:cs="Times New Roman"/>
          <w:b/>
        </w:rPr>
      </w:pPr>
      <w:proofErr w:type="gramStart"/>
      <w:r w:rsidRPr="00B05092">
        <w:rPr>
          <w:rFonts w:ascii="Times New Roman" w:eastAsia="標楷體" w:hAnsi="Times New Roman" w:cs="Times New Roman" w:hint="eastAsia"/>
          <w:b/>
        </w:rPr>
        <w:t>註</w:t>
      </w:r>
      <w:proofErr w:type="gramEnd"/>
      <w:r w:rsidRPr="00B05092">
        <w:rPr>
          <w:rFonts w:ascii="Times New Roman" w:eastAsia="標楷體" w:hAnsi="Times New Roman" w:cs="Times New Roman" w:hint="eastAsia"/>
          <w:b/>
        </w:rPr>
        <w:t>1</w:t>
      </w:r>
      <w:r w:rsidRPr="00B05092">
        <w:rPr>
          <w:rFonts w:ascii="Times New Roman" w:eastAsia="標楷體" w:hAnsi="Times New Roman" w:cs="Times New Roman" w:hint="eastAsia"/>
          <w:b/>
        </w:rPr>
        <w:t>：</w:t>
      </w:r>
      <w:r w:rsidRPr="00B05092">
        <w:rPr>
          <w:rFonts w:ascii="Times New Roman" w:eastAsia="標楷體" w:hAnsi="Times New Roman" w:cs="Times New Roman" w:hint="eastAsia"/>
          <w:b/>
        </w:rPr>
        <w:t>97~</w:t>
      </w:r>
      <w:proofErr w:type="gramStart"/>
      <w:r w:rsidRPr="00B05092">
        <w:rPr>
          <w:rFonts w:ascii="Times New Roman" w:eastAsia="標楷體" w:hAnsi="Times New Roman" w:cs="Times New Roman" w:hint="eastAsia"/>
          <w:b/>
        </w:rPr>
        <w:t>101</w:t>
      </w:r>
      <w:proofErr w:type="gramEnd"/>
      <w:r w:rsidRPr="00B05092">
        <w:rPr>
          <w:rFonts w:ascii="Times New Roman" w:eastAsia="標楷體" w:hAnsi="Times New Roman" w:cs="Times New Roman" w:hint="eastAsia"/>
          <w:b/>
        </w:rPr>
        <w:t>年度係經會計師查核簽證之個體財報</w:t>
      </w:r>
    </w:p>
    <w:p w:rsidR="00B20356" w:rsidRDefault="00B20356" w:rsidP="00077EF1">
      <w:pPr>
        <w:pStyle w:val="Web"/>
        <w:widowControl w:val="0"/>
        <w:spacing w:before="0" w:beforeAutospacing="0" w:after="0" w:afterAutospacing="0" w:line="320" w:lineRule="exact"/>
        <w:ind w:leftChars="-118" w:left="426" w:rightChars="-236" w:right="-566" w:hangingChars="295" w:hanging="709"/>
        <w:rPr>
          <w:rFonts w:ascii="Times New Roman" w:eastAsia="標楷體" w:hAnsi="Times New Roman" w:cs="Times New Roman"/>
          <w:b/>
        </w:rPr>
      </w:pPr>
      <w:proofErr w:type="gramStart"/>
      <w:r w:rsidRPr="00B05092">
        <w:rPr>
          <w:rFonts w:ascii="Times New Roman" w:eastAsia="標楷體" w:hAnsi="Times New Roman" w:cs="Times New Roman" w:hint="eastAsia"/>
          <w:b/>
        </w:rPr>
        <w:t>註</w:t>
      </w:r>
      <w:proofErr w:type="gramEnd"/>
      <w:r w:rsidR="00B05092" w:rsidRPr="00B05092">
        <w:rPr>
          <w:rFonts w:ascii="Times New Roman" w:eastAsia="標楷體" w:hAnsi="Times New Roman" w:cs="Times New Roman" w:hint="eastAsia"/>
          <w:b/>
        </w:rPr>
        <w:t>2</w:t>
      </w:r>
      <w:r w:rsidRPr="00B05092">
        <w:rPr>
          <w:rFonts w:ascii="Times New Roman" w:eastAsia="標楷體" w:hAnsi="Times New Roman" w:cs="Times New Roman" w:hint="eastAsia"/>
          <w:b/>
        </w:rPr>
        <w:t>：</w:t>
      </w:r>
      <w:r w:rsidR="0020043D" w:rsidRPr="00B05092">
        <w:rPr>
          <w:rFonts w:ascii="Times New Roman" w:eastAsia="標楷體" w:hAnsi="Times New Roman" w:cs="Times New Roman" w:hint="eastAsia"/>
          <w:b/>
        </w:rPr>
        <w:t>係</w:t>
      </w:r>
      <w:r w:rsidR="00B05092">
        <w:rPr>
          <w:rFonts w:ascii="Times New Roman" w:eastAsia="標楷體" w:hAnsi="Times New Roman" w:cs="Times New Roman" w:hint="eastAsia"/>
          <w:b/>
        </w:rPr>
        <w:t>依</w:t>
      </w:r>
      <w:r w:rsidR="00B05092">
        <w:rPr>
          <w:rFonts w:ascii="Times New Roman" w:eastAsia="標楷體" w:hAnsi="Times New Roman" w:cs="Times New Roman" w:hint="eastAsia"/>
          <w:b/>
        </w:rPr>
        <w:t>GAAP</w:t>
      </w:r>
      <w:r w:rsidR="00B05092">
        <w:rPr>
          <w:rFonts w:ascii="Times New Roman" w:eastAsia="標楷體" w:hAnsi="Times New Roman" w:cs="Times New Roman" w:hint="eastAsia"/>
          <w:b/>
        </w:rPr>
        <w:t>編製之個體</w:t>
      </w:r>
      <w:r w:rsidR="0020043D" w:rsidRPr="00B05092">
        <w:rPr>
          <w:rFonts w:ascii="Times New Roman" w:eastAsia="標楷體" w:hAnsi="Times New Roman" w:cs="Times New Roman" w:hint="eastAsia"/>
          <w:b/>
        </w:rPr>
        <w:t>自結數字，未經會計師查核簽</w:t>
      </w:r>
      <w:r w:rsidR="00044733" w:rsidRPr="00B05092">
        <w:rPr>
          <w:rFonts w:ascii="Times New Roman" w:eastAsia="標楷體" w:hAnsi="Times New Roman" w:cs="Times New Roman" w:hint="eastAsia"/>
          <w:b/>
        </w:rPr>
        <w:t>證，因此可能與</w:t>
      </w:r>
      <w:r w:rsidR="00467C09" w:rsidRPr="00B05092">
        <w:rPr>
          <w:rFonts w:ascii="Times New Roman" w:eastAsia="標楷體" w:hAnsi="Times New Roman" w:cs="Times New Roman" w:hint="eastAsia"/>
          <w:b/>
        </w:rPr>
        <w:t>會計師查核結果存有差異，請投資人於參考時審慎評估</w:t>
      </w:r>
      <w:r w:rsidR="00B05092">
        <w:rPr>
          <w:rFonts w:ascii="Times New Roman" w:eastAsia="標楷體" w:hAnsi="Times New Roman" w:cs="Times New Roman" w:hint="eastAsia"/>
          <w:b/>
        </w:rPr>
        <w:t>。</w:t>
      </w:r>
    </w:p>
    <w:p w:rsidR="00DA7A93" w:rsidRDefault="00DA7A93" w:rsidP="00C15569">
      <w:pPr>
        <w:pStyle w:val="Web"/>
        <w:widowControl w:val="0"/>
        <w:spacing w:before="0" w:beforeAutospacing="0" w:after="0" w:afterAutospacing="0" w:line="320" w:lineRule="exact"/>
        <w:ind w:left="490" w:rightChars="-355" w:right="-852" w:hangingChars="204" w:hanging="490"/>
        <w:rPr>
          <w:rFonts w:ascii="Times New Roman" w:eastAsia="標楷體" w:hAnsi="Times New Roman" w:cs="Times New Roman"/>
          <w:b/>
        </w:rPr>
      </w:pPr>
    </w:p>
    <w:p w:rsidR="00077EF1" w:rsidRDefault="00077EF1" w:rsidP="00C15569">
      <w:pPr>
        <w:pStyle w:val="Web"/>
        <w:widowControl w:val="0"/>
        <w:spacing w:before="0" w:beforeAutospacing="0" w:after="0" w:afterAutospacing="0" w:line="320" w:lineRule="exact"/>
        <w:ind w:left="490" w:rightChars="-355" w:right="-852" w:hangingChars="204" w:hanging="490"/>
        <w:rPr>
          <w:rFonts w:ascii="Times New Roman" w:eastAsia="標楷體" w:hAnsi="Times New Roman" w:cs="Times New Roman"/>
          <w:b/>
        </w:rPr>
        <w:sectPr w:rsidR="00077EF1">
          <w:footerReference w:type="even" r:id="rId24"/>
          <w:footerReference w:type="default" r:id="rId25"/>
          <w:pgSz w:w="11906" w:h="16838" w:code="9"/>
          <w:pgMar w:top="1079" w:right="1134" w:bottom="851" w:left="1134" w:header="567" w:footer="992" w:gutter="0"/>
          <w:cols w:space="425"/>
          <w:titlePg/>
          <w:docGrid w:type="lines" w:linePitch="360"/>
        </w:sectPr>
      </w:pPr>
    </w:p>
    <w:tbl>
      <w:tblPr>
        <w:tblW w:w="1046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77"/>
        <w:gridCol w:w="1668"/>
        <w:gridCol w:w="1736"/>
        <w:gridCol w:w="1665"/>
        <w:gridCol w:w="1610"/>
        <w:gridCol w:w="1691"/>
      </w:tblGrid>
      <w:tr w:rsidR="00161123" w:rsidRPr="00432B09" w:rsidTr="00077EF1">
        <w:trPr>
          <w:cantSplit/>
          <w:trHeight w:hRule="exact" w:val="1124"/>
        </w:trPr>
        <w:tc>
          <w:tcPr>
            <w:tcW w:w="1046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bookmarkStart w:id="6" w:name="最近五年度簡明資產負債表"/>
          <w:bookmarkEnd w:id="6"/>
          <w:p w:rsidR="00161123" w:rsidRPr="00432B09" w:rsidRDefault="006C0247">
            <w:pPr>
              <w:ind w:firstLineChars="1200" w:firstLine="3363"/>
              <w:rPr>
                <w:rFonts w:eastAsia="標楷體" w:hAnsi="標楷體"/>
                <w:b/>
                <w:bCs/>
                <w:sz w:val="28"/>
              </w:rPr>
            </w:pPr>
            <w:r>
              <w:rPr>
                <w:rFonts w:eastAsia="標楷體" w:hAnsi="標楷體"/>
                <w:b/>
                <w:bCs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964D460" wp14:editId="2C3465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6642100" cy="685165"/>
                      <wp:effectExtent l="0" t="0" r="0" b="1905"/>
                      <wp:wrapNone/>
                      <wp:docPr id="1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851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1123" w:rsidRDefault="00161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1" type="#_x0000_t202" style="position:absolute;left:0;text-align:left;margin-left:0;margin-top:.65pt;width:523pt;height:5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" fillcolor="#ededed" stroked="f">
                      <v:fill rotate="t" focus="50%" type="gradient"/>
                      <v:textbox>
                        <w:txbxContent>
                          <w:p w:rsidR="00161123" w:rsidRDefault="00161123"/>
                        </w:txbxContent>
                      </v:textbox>
                    </v:shape>
                  </w:pict>
                </mc:Fallback>
              </mc:AlternateContent>
            </w:r>
            <w:r w:rsidR="00161123" w:rsidRPr="00432B09">
              <w:rPr>
                <w:rFonts w:eastAsia="標楷體" w:hAnsi="標楷體"/>
                <w:b/>
                <w:bCs/>
                <w:sz w:val="28"/>
              </w:rPr>
              <w:t>最近五年度簡明資產負債表</w:t>
            </w:r>
          </w:p>
          <w:p w:rsidR="00161123" w:rsidRPr="00432B09" w:rsidRDefault="00161123">
            <w:pPr>
              <w:ind w:firstLineChars="2518" w:firstLine="7057"/>
              <w:rPr>
                <w:rFonts w:eastAsia="標楷體"/>
                <w:b/>
                <w:bCs/>
                <w:sz w:val="28"/>
              </w:rPr>
            </w:pPr>
            <w:r w:rsidRPr="00432B09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432B09">
              <w:rPr>
                <w:rFonts w:eastAsia="標楷體" w:hint="eastAsia"/>
                <w:b/>
                <w:bCs/>
                <w:sz w:val="28"/>
              </w:rPr>
              <w:t xml:space="preserve">       </w:t>
            </w:r>
            <w:r w:rsidRPr="00432B09">
              <w:rPr>
                <w:rFonts w:eastAsia="標楷體" w:hAnsi="標楷體"/>
              </w:rPr>
              <w:t>單位：新台幣仟元</w:t>
            </w:r>
          </w:p>
          <w:p w:rsidR="00161123" w:rsidRPr="00432B09" w:rsidRDefault="00161123">
            <w:pPr>
              <w:ind w:firstLineChars="1200" w:firstLine="3363"/>
              <w:rPr>
                <w:rFonts w:eastAsia="標楷體"/>
                <w:b/>
                <w:bCs/>
                <w:sz w:val="28"/>
              </w:rPr>
            </w:pPr>
          </w:p>
          <w:p w:rsidR="00161123" w:rsidRPr="00432B09" w:rsidRDefault="00161123">
            <w:pPr>
              <w:ind w:firstLineChars="1200" w:firstLine="3363"/>
              <w:rPr>
                <w:rFonts w:eastAsia="標楷體"/>
                <w:b/>
                <w:bCs/>
                <w:sz w:val="28"/>
              </w:rPr>
            </w:pPr>
          </w:p>
          <w:p w:rsidR="00161123" w:rsidRPr="00432B09" w:rsidRDefault="00161123">
            <w:pPr>
              <w:ind w:firstLineChars="1500" w:firstLine="3600"/>
              <w:rPr>
                <w:rFonts w:eastAsia="標楷體"/>
              </w:rPr>
            </w:pPr>
          </w:p>
          <w:p w:rsidR="00161123" w:rsidRPr="00432B09" w:rsidRDefault="00161123">
            <w:pPr>
              <w:ind w:firstLineChars="1500" w:firstLine="3600"/>
              <w:rPr>
                <w:rFonts w:eastAsia="標楷體"/>
              </w:rPr>
            </w:pPr>
          </w:p>
          <w:p w:rsidR="00161123" w:rsidRPr="00432B09" w:rsidRDefault="00161123">
            <w:pPr>
              <w:ind w:firstLineChars="1500" w:firstLine="3600"/>
              <w:rPr>
                <w:rFonts w:eastAsia="標楷體"/>
              </w:rPr>
            </w:pPr>
          </w:p>
          <w:p w:rsidR="00161123" w:rsidRPr="00432B09" w:rsidRDefault="00161123">
            <w:pPr>
              <w:ind w:firstLineChars="1500" w:firstLine="3600"/>
              <w:rPr>
                <w:rFonts w:eastAsia="標楷體"/>
              </w:rPr>
            </w:pPr>
            <w:r w:rsidRPr="00432B09">
              <w:rPr>
                <w:rFonts w:eastAsia="標楷體"/>
              </w:rPr>
              <w:t xml:space="preserve">         </w:t>
            </w:r>
          </w:p>
          <w:p w:rsidR="00161123" w:rsidRPr="00432B09" w:rsidRDefault="00161123">
            <w:pPr>
              <w:ind w:firstLineChars="900" w:firstLine="2160"/>
              <w:rPr>
                <w:rFonts w:eastAsia="標楷體"/>
              </w:rPr>
            </w:pPr>
            <w:r w:rsidRPr="00432B09">
              <w:rPr>
                <w:rFonts w:eastAsia="標楷體"/>
              </w:rPr>
              <w:t xml:space="preserve">                    </w:t>
            </w:r>
            <w:r w:rsidRPr="00432B09">
              <w:rPr>
                <w:rFonts w:eastAsia="標楷體" w:hAnsi="標楷體"/>
              </w:rPr>
              <w:t>單位：新台幣仟元</w:t>
            </w:r>
          </w:p>
        </w:tc>
      </w:tr>
      <w:tr w:rsidR="00432B09" w:rsidRPr="00432B09" w:rsidTr="00077EF1">
        <w:trPr>
          <w:trHeight w:val="555"/>
        </w:trPr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432B09" w:rsidRPr="00432B09" w:rsidRDefault="00432B09" w:rsidP="00C15569">
            <w:pPr>
              <w:spacing w:line="320" w:lineRule="exact"/>
              <w:ind w:left="57" w:right="57"/>
              <w:jc w:val="right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年度</w:t>
            </w:r>
          </w:p>
          <w:p w:rsidR="00432B09" w:rsidRPr="00432B09" w:rsidRDefault="00432B09" w:rsidP="00C15569">
            <w:pPr>
              <w:spacing w:line="320" w:lineRule="exact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項目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C15569">
            <w:pPr>
              <w:spacing w:line="320" w:lineRule="exact"/>
              <w:jc w:val="center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97</w:t>
            </w:r>
            <w:r w:rsidRPr="00432B09">
              <w:rPr>
                <w:rFonts w:eastAsia="標楷體"/>
              </w:rPr>
              <w:t>年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C15569">
            <w:pPr>
              <w:spacing w:line="320" w:lineRule="exact"/>
              <w:jc w:val="center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98</w:t>
            </w:r>
            <w:r w:rsidRPr="00432B09">
              <w:rPr>
                <w:rFonts w:eastAsia="標楷體"/>
              </w:rPr>
              <w:t>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C15569">
            <w:pPr>
              <w:spacing w:line="320" w:lineRule="exact"/>
              <w:jc w:val="center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99</w:t>
            </w:r>
            <w:r w:rsidRPr="00432B09">
              <w:rPr>
                <w:rFonts w:eastAsia="標楷體"/>
              </w:rPr>
              <w:t>年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C15569">
            <w:pPr>
              <w:spacing w:line="320" w:lineRule="exact"/>
              <w:jc w:val="center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100</w:t>
            </w:r>
            <w:r w:rsidRPr="00432B09">
              <w:rPr>
                <w:rFonts w:eastAsia="標楷體" w:hint="eastAsia"/>
              </w:rPr>
              <w:t>年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C15569">
            <w:pPr>
              <w:spacing w:line="320" w:lineRule="exact"/>
              <w:jc w:val="center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101</w:t>
            </w:r>
            <w:r w:rsidRPr="00432B09">
              <w:rPr>
                <w:rFonts w:eastAsia="標楷體" w:hint="eastAsia"/>
              </w:rPr>
              <w:t>年</w:t>
            </w:r>
          </w:p>
        </w:tc>
      </w:tr>
      <w:tr w:rsidR="00432B09" w:rsidRPr="00432B09" w:rsidTr="00077EF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流動資產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410,756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496,778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736,572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474,100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335,237</w:t>
            </w:r>
          </w:p>
        </w:tc>
      </w:tr>
      <w:tr w:rsidR="00432B09" w:rsidRPr="00432B09" w:rsidTr="00077EF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基金及長期投資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110,411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123,420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134,910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145,002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260,884</w:t>
            </w:r>
          </w:p>
        </w:tc>
      </w:tr>
      <w:tr w:rsidR="00432B09" w:rsidRPr="00432B09" w:rsidTr="00077EF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固定資產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162,480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153,732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158,224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183,354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281,637</w:t>
            </w:r>
          </w:p>
        </w:tc>
      </w:tr>
      <w:tr w:rsidR="00432B09" w:rsidRPr="00432B09" w:rsidTr="00077EF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無形資產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4,055</w:t>
            </w:r>
          </w:p>
        </w:tc>
      </w:tr>
      <w:tr w:rsidR="00432B09" w:rsidRPr="00432B09" w:rsidTr="00077EF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其他資產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75,225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5,082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4,855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5,870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7,483</w:t>
            </w:r>
          </w:p>
        </w:tc>
      </w:tr>
      <w:tr w:rsidR="00432B09" w:rsidRPr="00432B09" w:rsidTr="00077EF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資產總額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758,872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779,012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1,034,561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808,326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889,296</w:t>
            </w:r>
          </w:p>
        </w:tc>
      </w:tr>
      <w:tr w:rsidR="00432B09" w:rsidRPr="00432B09" w:rsidTr="00077EF1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流動</w:t>
            </w:r>
          </w:p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負債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09" w:rsidRPr="00432B09" w:rsidRDefault="00432B09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432B09">
              <w:rPr>
                <w:rFonts w:hAnsi="標楷體"/>
                <w:kern w:val="2"/>
                <w:szCs w:val="24"/>
              </w:rPr>
              <w:t>分</w:t>
            </w:r>
            <w:r w:rsidRPr="00432B09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432B09">
              <w:rPr>
                <w:rFonts w:hAnsi="標楷體"/>
                <w:kern w:val="2"/>
                <w:szCs w:val="24"/>
              </w:rPr>
              <w:t>配</w:t>
            </w:r>
            <w:r w:rsidRPr="00432B09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432B09"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211,107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135,557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211,384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83,456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141,897</w:t>
            </w:r>
          </w:p>
        </w:tc>
      </w:tr>
      <w:tr w:rsidR="00432B09" w:rsidRPr="00432B09" w:rsidTr="00077EF1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09" w:rsidRPr="00432B09" w:rsidRDefault="00432B09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分</w:t>
            </w:r>
            <w:r w:rsidRPr="00432B09">
              <w:rPr>
                <w:rFonts w:eastAsia="標楷體" w:hAnsi="標楷體" w:hint="eastAsia"/>
              </w:rPr>
              <w:t xml:space="preserve"> </w:t>
            </w:r>
            <w:r w:rsidRPr="00432B09">
              <w:rPr>
                <w:rFonts w:eastAsia="標楷體" w:hAnsi="標楷體"/>
              </w:rPr>
              <w:t>配</w:t>
            </w:r>
            <w:r w:rsidRPr="00432B09">
              <w:rPr>
                <w:rFonts w:eastAsia="標楷體" w:hAnsi="標楷體" w:hint="eastAsia"/>
              </w:rPr>
              <w:t xml:space="preserve"> </w:t>
            </w:r>
            <w:r w:rsidRPr="00432B09"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211,107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135,557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631,384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315,539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262,797</w:t>
            </w:r>
          </w:p>
        </w:tc>
      </w:tr>
      <w:tr w:rsidR="00432B09" w:rsidRPr="00432B09" w:rsidTr="00077EF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長期負債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</w:tr>
      <w:tr w:rsidR="00432B09" w:rsidRPr="00432B09" w:rsidTr="00077EF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其他負債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19,840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19,840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19,840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19,840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23,953</w:t>
            </w:r>
          </w:p>
        </w:tc>
      </w:tr>
      <w:tr w:rsidR="00432B09" w:rsidRPr="00432B09" w:rsidTr="00077EF1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負債</w:t>
            </w:r>
          </w:p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09" w:rsidRPr="00432B09" w:rsidRDefault="00432B09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432B09">
              <w:rPr>
                <w:rFonts w:hAnsi="標楷體"/>
                <w:kern w:val="2"/>
                <w:szCs w:val="24"/>
              </w:rPr>
              <w:t>分</w:t>
            </w:r>
            <w:r w:rsidRPr="00432B09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432B09">
              <w:rPr>
                <w:rFonts w:hAnsi="標楷體"/>
                <w:kern w:val="2"/>
                <w:szCs w:val="24"/>
              </w:rPr>
              <w:t>配</w:t>
            </w:r>
            <w:r w:rsidRPr="00432B09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432B09"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230,947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155,397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231,224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103,296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165,850</w:t>
            </w:r>
          </w:p>
        </w:tc>
      </w:tr>
      <w:tr w:rsidR="00432B09" w:rsidRPr="00432B09" w:rsidTr="00077EF1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09" w:rsidRPr="00432B09" w:rsidRDefault="00432B09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分</w:t>
            </w:r>
            <w:r w:rsidRPr="00432B09">
              <w:rPr>
                <w:rFonts w:eastAsia="標楷體" w:hAnsi="標楷體" w:hint="eastAsia"/>
              </w:rPr>
              <w:t xml:space="preserve"> </w:t>
            </w:r>
            <w:r w:rsidRPr="00432B09">
              <w:rPr>
                <w:rFonts w:eastAsia="標楷體" w:hAnsi="標楷體"/>
              </w:rPr>
              <w:t>配</w:t>
            </w:r>
            <w:r w:rsidRPr="00432B09">
              <w:rPr>
                <w:rFonts w:eastAsia="標楷體" w:hAnsi="標楷體" w:hint="eastAsia"/>
              </w:rPr>
              <w:t xml:space="preserve"> </w:t>
            </w:r>
            <w:r w:rsidRPr="00432B09"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230,947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155,397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651,224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335,379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286,750</w:t>
            </w:r>
          </w:p>
        </w:tc>
      </w:tr>
      <w:tr w:rsidR="00432B09" w:rsidRPr="00432B09" w:rsidTr="00077EF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股本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150,000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150,000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150,000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300,000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390,000</w:t>
            </w:r>
          </w:p>
        </w:tc>
      </w:tr>
      <w:tr w:rsidR="00432B09" w:rsidRPr="00432B09" w:rsidTr="00077EF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資本公積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60,339</w:t>
            </w:r>
          </w:p>
        </w:tc>
      </w:tr>
      <w:tr w:rsidR="00432B09" w:rsidRPr="00432B09" w:rsidTr="00077EF1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保留</w:t>
            </w:r>
          </w:p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盈餘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09" w:rsidRPr="00432B09" w:rsidRDefault="00432B09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432B09">
              <w:rPr>
                <w:rFonts w:hAnsi="標楷體"/>
                <w:kern w:val="2"/>
                <w:szCs w:val="24"/>
              </w:rPr>
              <w:t>分</w:t>
            </w:r>
            <w:r w:rsidRPr="00432B09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432B09">
              <w:rPr>
                <w:rFonts w:hAnsi="標楷體"/>
                <w:kern w:val="2"/>
                <w:szCs w:val="24"/>
              </w:rPr>
              <w:t>配</w:t>
            </w:r>
            <w:r w:rsidRPr="00432B09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432B09"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377,925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473,615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653,337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405,305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273,780</w:t>
            </w:r>
          </w:p>
        </w:tc>
      </w:tr>
      <w:tr w:rsidR="00432B09" w:rsidRPr="00432B09" w:rsidTr="00077EF1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09" w:rsidRPr="00432B09" w:rsidRDefault="00432B09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分</w:t>
            </w:r>
            <w:r w:rsidRPr="00432B09">
              <w:rPr>
                <w:rFonts w:eastAsia="標楷體" w:hAnsi="標楷體" w:hint="eastAsia"/>
              </w:rPr>
              <w:t xml:space="preserve"> </w:t>
            </w:r>
            <w:r w:rsidRPr="00432B09">
              <w:rPr>
                <w:rFonts w:eastAsia="標楷體" w:hAnsi="標楷體"/>
              </w:rPr>
              <w:t>配</w:t>
            </w:r>
            <w:r w:rsidRPr="00432B09">
              <w:rPr>
                <w:rFonts w:eastAsia="標楷體" w:hAnsi="標楷體" w:hint="eastAsia"/>
              </w:rPr>
              <w:t xml:space="preserve"> </w:t>
            </w:r>
            <w:r w:rsidRPr="00432B09"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377,925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473,615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233,337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173,222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152,880</w:t>
            </w:r>
          </w:p>
        </w:tc>
      </w:tr>
      <w:tr w:rsidR="00432B09" w:rsidRPr="00432B09" w:rsidTr="00077EF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長期股權投資</w:t>
            </w:r>
          </w:p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未實現跌價損失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</w:tr>
      <w:tr w:rsidR="00432B09" w:rsidRPr="00432B09" w:rsidTr="00077EF1">
        <w:tc>
          <w:tcPr>
            <w:tcW w:w="20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累積換算調整數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-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(275)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(673)</w:t>
            </w:r>
          </w:p>
        </w:tc>
      </w:tr>
      <w:tr w:rsidR="00432B09" w:rsidRPr="00432B09" w:rsidTr="00077EF1">
        <w:trPr>
          <w:cantSplit/>
        </w:trPr>
        <w:tc>
          <w:tcPr>
            <w:tcW w:w="10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股東權益總額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09" w:rsidRPr="00432B09" w:rsidRDefault="00432B09">
            <w:pPr>
              <w:pStyle w:val="ac"/>
              <w:adjustRightInd/>
              <w:snapToGrid/>
              <w:spacing w:line="240" w:lineRule="auto"/>
              <w:textAlignment w:val="auto"/>
              <w:rPr>
                <w:kern w:val="2"/>
                <w:szCs w:val="24"/>
              </w:rPr>
            </w:pPr>
            <w:r w:rsidRPr="00432B09">
              <w:rPr>
                <w:rFonts w:hAnsi="標楷體"/>
                <w:kern w:val="2"/>
                <w:szCs w:val="24"/>
              </w:rPr>
              <w:t>分</w:t>
            </w:r>
            <w:r w:rsidRPr="00432B09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432B09">
              <w:rPr>
                <w:rFonts w:hAnsi="標楷體"/>
                <w:kern w:val="2"/>
                <w:szCs w:val="24"/>
              </w:rPr>
              <w:t>配</w:t>
            </w:r>
            <w:r w:rsidRPr="00432B09">
              <w:rPr>
                <w:rFonts w:hAnsi="標楷體" w:hint="eastAsia"/>
                <w:kern w:val="2"/>
                <w:szCs w:val="24"/>
              </w:rPr>
              <w:t xml:space="preserve"> </w:t>
            </w:r>
            <w:r w:rsidRPr="00432B09">
              <w:rPr>
                <w:rFonts w:hAnsi="標楷體"/>
                <w:kern w:val="2"/>
                <w:szCs w:val="24"/>
              </w:rPr>
              <w:t>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527,925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623,615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803,337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705,030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723,446</w:t>
            </w:r>
          </w:p>
        </w:tc>
      </w:tr>
      <w:tr w:rsidR="00432B09" w:rsidTr="00077EF1">
        <w:trPr>
          <w:cantSplit/>
        </w:trPr>
        <w:tc>
          <w:tcPr>
            <w:tcW w:w="10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2B09" w:rsidRPr="00432B09" w:rsidRDefault="00432B09">
            <w:pPr>
              <w:jc w:val="distribute"/>
              <w:rPr>
                <w:rFonts w:eastAsia="標楷體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2B09" w:rsidRPr="00432B09" w:rsidRDefault="00432B09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Ansi="標楷體"/>
              </w:rPr>
              <w:t>分</w:t>
            </w:r>
            <w:r w:rsidRPr="00432B09">
              <w:rPr>
                <w:rFonts w:eastAsia="標楷體" w:hAnsi="標楷體" w:hint="eastAsia"/>
              </w:rPr>
              <w:t xml:space="preserve"> </w:t>
            </w:r>
            <w:r w:rsidRPr="00432B09">
              <w:rPr>
                <w:rFonts w:eastAsia="標楷體" w:hAnsi="標楷體"/>
              </w:rPr>
              <w:t>配</w:t>
            </w:r>
            <w:r w:rsidRPr="00432B09">
              <w:rPr>
                <w:rFonts w:eastAsia="標楷體" w:hAnsi="標楷體" w:hint="eastAsia"/>
              </w:rPr>
              <w:t xml:space="preserve"> </w:t>
            </w:r>
            <w:r w:rsidRPr="00432B09">
              <w:rPr>
                <w:rFonts w:eastAsia="標楷體" w:hAnsi="標楷體"/>
              </w:rPr>
              <w:t>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527,925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623,615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383,337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32B09" w:rsidRPr="00432B09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472,947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B09" w:rsidRPr="00863163" w:rsidRDefault="00432B09" w:rsidP="00957627">
            <w:pPr>
              <w:jc w:val="right"/>
              <w:rPr>
                <w:rFonts w:eastAsia="標楷體"/>
              </w:rPr>
            </w:pPr>
            <w:r w:rsidRPr="00432B09">
              <w:rPr>
                <w:rFonts w:eastAsia="標楷體" w:hint="eastAsia"/>
              </w:rPr>
              <w:t>602,546</w:t>
            </w:r>
          </w:p>
        </w:tc>
      </w:tr>
    </w:tbl>
    <w:p w:rsidR="00161123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                                               </w:t>
      </w:r>
      <w:r w:rsidR="006C0247">
        <w:rPr>
          <w:rFonts w:ascii="新細明體" w:hAnsi="新細明體" w:hint="eastAsia"/>
          <w:noProof/>
        </w:rPr>
        <w:drawing>
          <wp:inline distT="0" distB="0" distL="0" distR="0" wp14:anchorId="3837DF18" wp14:editId="527673E9">
            <wp:extent cx="409575" cy="152400"/>
            <wp:effectExtent l="0" t="0" r="9525" b="0"/>
            <wp:docPr id="9" name="圖片 9" descr="icon_to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on_to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23" w:rsidRDefault="00161123">
      <w:pPr>
        <w:rPr>
          <w:rFonts w:ascii="新細明體" w:hAnsi="新細明體"/>
        </w:rPr>
      </w:pP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66"/>
        <w:gridCol w:w="2294"/>
        <w:gridCol w:w="2160"/>
        <w:gridCol w:w="2160"/>
      </w:tblGrid>
      <w:tr w:rsidR="00161123" w:rsidRPr="003139A7" w:rsidTr="00077EF1">
        <w:trPr>
          <w:cantSplit/>
          <w:trHeight w:val="707"/>
        </w:trPr>
        <w:tc>
          <w:tcPr>
            <w:tcW w:w="9748" w:type="dxa"/>
            <w:gridSpan w:val="5"/>
            <w:tcBorders>
              <w:bottom w:val="single" w:sz="6" w:space="0" w:color="auto"/>
            </w:tcBorders>
          </w:tcPr>
          <w:bookmarkStart w:id="7" w:name="最近三年度財務比率及股利發放情形"/>
          <w:bookmarkEnd w:id="7"/>
          <w:p w:rsidR="00161123" w:rsidRPr="003139A7" w:rsidRDefault="006C0247">
            <w:pPr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D00C24D" wp14:editId="712ABA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6172200" cy="450215"/>
                      <wp:effectExtent l="0" t="0" r="0" b="0"/>
                      <wp:wrapNone/>
                      <wp:docPr id="11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502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EDED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DEDED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1123" w:rsidRDefault="00161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2" type="#_x0000_t202" style="position:absolute;left:0;text-align:left;margin-left:0;margin-top:-.05pt;width:486pt;height:3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" fillcolor="#ededed" stroked="f">
                      <v:fill rotate="t" focus="50%" type="gradient"/>
                      <v:textbox>
                        <w:txbxContent>
                          <w:p w:rsidR="00161123" w:rsidRDefault="00161123"/>
                        </w:txbxContent>
                      </v:textbox>
                    </v:shape>
                  </w:pict>
                </mc:Fallback>
              </mc:AlternateContent>
            </w:r>
            <w:r w:rsidR="00161123" w:rsidRPr="003139A7">
              <w:rPr>
                <w:rFonts w:eastAsia="標楷體" w:hint="eastAsia"/>
                <w:b/>
                <w:bCs/>
                <w:sz w:val="28"/>
              </w:rPr>
              <w:t>最近</w:t>
            </w:r>
            <w:proofErr w:type="gramStart"/>
            <w:r w:rsidR="00161123" w:rsidRPr="003139A7">
              <w:rPr>
                <w:rFonts w:eastAsia="標楷體" w:hint="eastAsia"/>
                <w:b/>
                <w:bCs/>
                <w:sz w:val="28"/>
              </w:rPr>
              <w:t>三</w:t>
            </w:r>
            <w:proofErr w:type="gramEnd"/>
            <w:r w:rsidR="00161123" w:rsidRPr="003139A7">
              <w:rPr>
                <w:rFonts w:eastAsia="標楷體" w:hint="eastAsia"/>
                <w:b/>
                <w:bCs/>
                <w:sz w:val="28"/>
              </w:rPr>
              <w:t>年度財務比率</w:t>
            </w:r>
          </w:p>
        </w:tc>
      </w:tr>
      <w:tr w:rsidR="003139A7" w:rsidRPr="003139A7" w:rsidTr="00077EF1">
        <w:tc>
          <w:tcPr>
            <w:tcW w:w="3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3139A7" w:rsidRPr="003139A7" w:rsidRDefault="003139A7">
            <w:pPr>
              <w:wordWrap w:val="0"/>
              <w:ind w:left="57" w:right="57"/>
              <w:jc w:val="right"/>
              <w:rPr>
                <w:rFonts w:eastAsia="標楷體"/>
              </w:rPr>
            </w:pPr>
            <w:r w:rsidRPr="003139A7">
              <w:rPr>
                <w:rFonts w:eastAsia="標楷體"/>
              </w:rPr>
              <w:t>年</w:t>
            </w:r>
            <w:r w:rsidRPr="003139A7">
              <w:rPr>
                <w:rFonts w:eastAsia="標楷體" w:hint="eastAsia"/>
              </w:rPr>
              <w:t xml:space="preserve">  </w:t>
            </w:r>
            <w:r w:rsidRPr="003139A7">
              <w:rPr>
                <w:rFonts w:eastAsia="標楷體"/>
              </w:rPr>
              <w:t>度</w:t>
            </w:r>
          </w:p>
          <w:p w:rsidR="003139A7" w:rsidRPr="003139A7" w:rsidRDefault="003139A7">
            <w:pPr>
              <w:ind w:firstLineChars="100" w:firstLine="240"/>
              <w:rPr>
                <w:rFonts w:eastAsia="標楷體"/>
              </w:rPr>
            </w:pPr>
            <w:r w:rsidRPr="003139A7">
              <w:rPr>
                <w:rFonts w:eastAsia="標楷體"/>
              </w:rPr>
              <w:t>項</w:t>
            </w:r>
            <w:r w:rsidRPr="003139A7">
              <w:rPr>
                <w:rFonts w:eastAsia="標楷體" w:hint="eastAsia"/>
              </w:rPr>
              <w:t xml:space="preserve">  </w:t>
            </w:r>
            <w:r w:rsidRPr="003139A7">
              <w:rPr>
                <w:rFonts w:eastAsia="標楷體"/>
              </w:rPr>
              <w:t>目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7" w:rsidRPr="00C56EFA" w:rsidRDefault="003139A7" w:rsidP="009576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99</w:t>
            </w:r>
            <w:r w:rsidRPr="00C56EFA">
              <w:rPr>
                <w:rFonts w:eastAsia="標楷體"/>
              </w:rPr>
              <w:t>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7" w:rsidRPr="00C56EFA" w:rsidRDefault="003139A7" w:rsidP="009576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100</w:t>
            </w:r>
            <w:r w:rsidRPr="00C56EFA">
              <w:rPr>
                <w:rFonts w:eastAsia="標楷體" w:hint="eastAsia"/>
              </w:rPr>
              <w:t>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39A7" w:rsidRPr="00C56EFA" w:rsidRDefault="003139A7" w:rsidP="009576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101</w:t>
            </w:r>
            <w:r w:rsidRPr="00C56EFA">
              <w:rPr>
                <w:rFonts w:eastAsia="標楷體" w:hint="eastAsia"/>
              </w:rPr>
              <w:t>年</w:t>
            </w:r>
          </w:p>
        </w:tc>
      </w:tr>
      <w:tr w:rsidR="003139A7" w:rsidRPr="003139A7" w:rsidTr="00077EF1">
        <w:trPr>
          <w:cantSplit/>
        </w:trPr>
        <w:tc>
          <w:tcPr>
            <w:tcW w:w="568" w:type="dxa"/>
            <w:vMerge w:val="restart"/>
            <w:shd w:val="clear" w:color="auto" w:fill="F9F9F9"/>
          </w:tcPr>
          <w:p w:rsidR="003139A7" w:rsidRPr="003139A7" w:rsidRDefault="003139A7">
            <w:pPr>
              <w:spacing w:beforeLines="50" w:before="180"/>
              <w:jc w:val="center"/>
              <w:rPr>
                <w:rFonts w:eastAsia="標楷體"/>
                <w:b/>
              </w:rPr>
            </w:pPr>
            <w:bookmarkStart w:id="8" w:name="財務比率"/>
            <w:bookmarkEnd w:id="8"/>
            <w:r w:rsidRPr="003139A7">
              <w:rPr>
                <w:rFonts w:eastAsia="標楷體"/>
                <w:b/>
              </w:rPr>
              <w:t>財</w:t>
            </w:r>
          </w:p>
          <w:p w:rsidR="003139A7" w:rsidRPr="003139A7" w:rsidRDefault="003139A7">
            <w:pPr>
              <w:jc w:val="center"/>
              <w:rPr>
                <w:rFonts w:eastAsia="標楷體"/>
                <w:b/>
              </w:rPr>
            </w:pPr>
            <w:proofErr w:type="gramStart"/>
            <w:r w:rsidRPr="003139A7">
              <w:rPr>
                <w:rFonts w:eastAsia="標楷體"/>
                <w:b/>
              </w:rPr>
              <w:t>務</w:t>
            </w:r>
            <w:proofErr w:type="gramEnd"/>
          </w:p>
          <w:p w:rsidR="003139A7" w:rsidRPr="003139A7" w:rsidRDefault="003139A7">
            <w:pPr>
              <w:jc w:val="center"/>
              <w:rPr>
                <w:rFonts w:eastAsia="標楷體"/>
                <w:b/>
              </w:rPr>
            </w:pPr>
            <w:r w:rsidRPr="003139A7">
              <w:rPr>
                <w:rFonts w:eastAsia="標楷體"/>
                <w:b/>
              </w:rPr>
              <w:t>比</w:t>
            </w:r>
          </w:p>
          <w:p w:rsidR="003139A7" w:rsidRPr="003139A7" w:rsidRDefault="003139A7">
            <w:pPr>
              <w:jc w:val="center"/>
              <w:rPr>
                <w:rFonts w:eastAsia="標楷體"/>
              </w:rPr>
            </w:pPr>
            <w:r w:rsidRPr="003139A7">
              <w:rPr>
                <w:rFonts w:eastAsia="標楷體"/>
                <w:b/>
              </w:rPr>
              <w:t>率</w:t>
            </w:r>
          </w:p>
        </w:tc>
        <w:tc>
          <w:tcPr>
            <w:tcW w:w="2566" w:type="dxa"/>
            <w:shd w:val="clear" w:color="auto" w:fill="F9F9F9"/>
          </w:tcPr>
          <w:p w:rsidR="003139A7" w:rsidRPr="003139A7" w:rsidRDefault="003139A7">
            <w:pPr>
              <w:jc w:val="both"/>
              <w:rPr>
                <w:rFonts w:eastAsia="標楷體"/>
              </w:rPr>
            </w:pPr>
            <w:r w:rsidRPr="003139A7">
              <w:rPr>
                <w:rFonts w:eastAsia="標楷體"/>
              </w:rPr>
              <w:t>毛利率</w:t>
            </w:r>
            <w:r w:rsidRPr="003139A7">
              <w:rPr>
                <w:rFonts w:eastAsia="標楷體"/>
              </w:rPr>
              <w:t>(%)</w:t>
            </w:r>
          </w:p>
        </w:tc>
        <w:tc>
          <w:tcPr>
            <w:tcW w:w="2294" w:type="dxa"/>
            <w:vAlign w:val="center"/>
          </w:tcPr>
          <w:p w:rsidR="003139A7" w:rsidRPr="00EB035E" w:rsidRDefault="003139A7" w:rsidP="00957627">
            <w:pPr>
              <w:jc w:val="center"/>
              <w:rPr>
                <w:rFonts w:eastAsia="標楷體"/>
                <w:color w:val="000000"/>
              </w:rPr>
            </w:pPr>
            <w:r w:rsidRPr="00EB035E">
              <w:rPr>
                <w:rFonts w:eastAsia="標楷體"/>
                <w:color w:val="000000"/>
              </w:rPr>
              <w:t>61.73</w:t>
            </w:r>
          </w:p>
        </w:tc>
        <w:tc>
          <w:tcPr>
            <w:tcW w:w="2160" w:type="dxa"/>
            <w:vAlign w:val="center"/>
          </w:tcPr>
          <w:p w:rsidR="003139A7" w:rsidRPr="00EB035E" w:rsidRDefault="003139A7" w:rsidP="00957627">
            <w:pPr>
              <w:jc w:val="center"/>
              <w:rPr>
                <w:rFonts w:eastAsia="標楷體"/>
                <w:color w:val="000000"/>
              </w:rPr>
            </w:pPr>
            <w:r w:rsidRPr="00EB035E">
              <w:rPr>
                <w:rFonts w:eastAsia="標楷體"/>
                <w:color w:val="000000"/>
              </w:rPr>
              <w:t>50.99</w:t>
            </w:r>
          </w:p>
        </w:tc>
        <w:tc>
          <w:tcPr>
            <w:tcW w:w="2160" w:type="dxa"/>
            <w:vAlign w:val="center"/>
          </w:tcPr>
          <w:p w:rsidR="003139A7" w:rsidRPr="00EB035E" w:rsidRDefault="003139A7" w:rsidP="00957627">
            <w:pPr>
              <w:jc w:val="center"/>
              <w:rPr>
                <w:rFonts w:eastAsia="標楷體"/>
                <w:color w:val="000000"/>
              </w:rPr>
            </w:pPr>
            <w:r w:rsidRPr="00EB035E">
              <w:rPr>
                <w:rFonts w:eastAsia="標楷體"/>
                <w:color w:val="000000"/>
              </w:rPr>
              <w:t>50.07</w:t>
            </w:r>
          </w:p>
        </w:tc>
      </w:tr>
      <w:tr w:rsidR="003139A7" w:rsidRPr="003139A7" w:rsidTr="00077EF1">
        <w:trPr>
          <w:cantSplit/>
        </w:trPr>
        <w:tc>
          <w:tcPr>
            <w:tcW w:w="568" w:type="dxa"/>
            <w:vMerge/>
          </w:tcPr>
          <w:p w:rsidR="003139A7" w:rsidRPr="003139A7" w:rsidRDefault="003139A7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3139A7" w:rsidRPr="003139A7" w:rsidRDefault="003139A7">
            <w:pPr>
              <w:jc w:val="both"/>
              <w:rPr>
                <w:rFonts w:eastAsia="標楷體"/>
              </w:rPr>
            </w:pPr>
            <w:r w:rsidRPr="003139A7">
              <w:rPr>
                <w:rFonts w:eastAsia="標楷體"/>
              </w:rPr>
              <w:t>流動比率</w:t>
            </w:r>
            <w:r w:rsidRPr="003139A7">
              <w:rPr>
                <w:rFonts w:eastAsia="標楷體"/>
              </w:rPr>
              <w:t>(%)</w:t>
            </w:r>
          </w:p>
        </w:tc>
        <w:tc>
          <w:tcPr>
            <w:tcW w:w="2294" w:type="dxa"/>
            <w:vAlign w:val="center"/>
          </w:tcPr>
          <w:p w:rsidR="003139A7" w:rsidRPr="00EB035E" w:rsidRDefault="003139A7" w:rsidP="009576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348.45</w:t>
            </w:r>
          </w:p>
        </w:tc>
        <w:tc>
          <w:tcPr>
            <w:tcW w:w="2160" w:type="dxa"/>
            <w:vAlign w:val="center"/>
          </w:tcPr>
          <w:p w:rsidR="003139A7" w:rsidRPr="00EB035E" w:rsidRDefault="003139A7" w:rsidP="00957627">
            <w:pPr>
              <w:jc w:val="center"/>
              <w:rPr>
                <w:rFonts w:eastAsia="標楷體"/>
              </w:rPr>
            </w:pPr>
            <w:r w:rsidRPr="00EB035E">
              <w:rPr>
                <w:rFonts w:eastAsia="標楷體" w:hint="eastAsia"/>
              </w:rPr>
              <w:t>568.08</w:t>
            </w:r>
          </w:p>
        </w:tc>
        <w:tc>
          <w:tcPr>
            <w:tcW w:w="2160" w:type="dxa"/>
            <w:vAlign w:val="center"/>
          </w:tcPr>
          <w:p w:rsidR="003139A7" w:rsidRPr="00EB035E" w:rsidRDefault="003139A7" w:rsidP="00957627">
            <w:pPr>
              <w:jc w:val="center"/>
              <w:rPr>
                <w:rFonts w:eastAsia="標楷體"/>
              </w:rPr>
            </w:pPr>
            <w:r w:rsidRPr="00EB035E">
              <w:rPr>
                <w:rFonts w:eastAsia="標楷體" w:hint="eastAsia"/>
              </w:rPr>
              <w:t>236.25</w:t>
            </w:r>
          </w:p>
        </w:tc>
      </w:tr>
      <w:tr w:rsidR="003139A7" w:rsidRPr="003139A7" w:rsidTr="00077EF1">
        <w:trPr>
          <w:cantSplit/>
        </w:trPr>
        <w:tc>
          <w:tcPr>
            <w:tcW w:w="568" w:type="dxa"/>
            <w:vMerge/>
          </w:tcPr>
          <w:p w:rsidR="003139A7" w:rsidRPr="003139A7" w:rsidRDefault="003139A7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3139A7" w:rsidRPr="003139A7" w:rsidRDefault="003139A7">
            <w:pPr>
              <w:jc w:val="both"/>
              <w:rPr>
                <w:rFonts w:eastAsia="標楷體"/>
              </w:rPr>
            </w:pPr>
            <w:r w:rsidRPr="003139A7">
              <w:rPr>
                <w:rFonts w:eastAsia="標楷體"/>
              </w:rPr>
              <w:t>應收帳款</w:t>
            </w:r>
            <w:r w:rsidRPr="003139A7">
              <w:rPr>
                <w:rFonts w:eastAsia="標楷體" w:hint="eastAsia"/>
              </w:rPr>
              <w:t>天數</w:t>
            </w:r>
            <w:r w:rsidRPr="003139A7">
              <w:rPr>
                <w:rFonts w:eastAsia="標楷體"/>
              </w:rPr>
              <w:t>(</w:t>
            </w:r>
            <w:r w:rsidRPr="003139A7">
              <w:rPr>
                <w:rFonts w:eastAsia="標楷體" w:hint="eastAsia"/>
              </w:rPr>
              <w:t>天</w:t>
            </w:r>
            <w:r w:rsidRPr="003139A7">
              <w:rPr>
                <w:rFonts w:eastAsia="標楷體"/>
              </w:rPr>
              <w:t>)</w:t>
            </w:r>
          </w:p>
        </w:tc>
        <w:tc>
          <w:tcPr>
            <w:tcW w:w="2294" w:type="dxa"/>
            <w:vAlign w:val="center"/>
          </w:tcPr>
          <w:p w:rsidR="003139A7" w:rsidRPr="00EB035E" w:rsidRDefault="003139A7" w:rsidP="009576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139.31</w:t>
            </w:r>
          </w:p>
        </w:tc>
        <w:tc>
          <w:tcPr>
            <w:tcW w:w="2160" w:type="dxa"/>
            <w:vAlign w:val="center"/>
          </w:tcPr>
          <w:p w:rsidR="003139A7" w:rsidRPr="00EB035E" w:rsidRDefault="003139A7" w:rsidP="009576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86.49</w:t>
            </w:r>
          </w:p>
        </w:tc>
        <w:tc>
          <w:tcPr>
            <w:tcW w:w="2160" w:type="dxa"/>
            <w:vAlign w:val="center"/>
          </w:tcPr>
          <w:p w:rsidR="003139A7" w:rsidRPr="00EB035E" w:rsidRDefault="003139A7" w:rsidP="009576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48.73</w:t>
            </w:r>
          </w:p>
        </w:tc>
      </w:tr>
      <w:tr w:rsidR="003139A7" w:rsidRPr="003139A7" w:rsidTr="00077EF1">
        <w:trPr>
          <w:cantSplit/>
        </w:trPr>
        <w:tc>
          <w:tcPr>
            <w:tcW w:w="568" w:type="dxa"/>
            <w:vMerge/>
          </w:tcPr>
          <w:p w:rsidR="003139A7" w:rsidRPr="003139A7" w:rsidRDefault="003139A7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3139A7" w:rsidRPr="003139A7" w:rsidRDefault="003139A7">
            <w:pPr>
              <w:jc w:val="both"/>
              <w:rPr>
                <w:rFonts w:eastAsia="標楷體"/>
              </w:rPr>
            </w:pPr>
            <w:r w:rsidRPr="003139A7">
              <w:rPr>
                <w:rFonts w:eastAsia="標楷體"/>
              </w:rPr>
              <w:t>存貨週轉</w:t>
            </w:r>
            <w:r w:rsidRPr="003139A7">
              <w:rPr>
                <w:rFonts w:eastAsia="標楷體" w:hint="eastAsia"/>
              </w:rPr>
              <w:t>天數</w:t>
            </w:r>
            <w:r w:rsidRPr="003139A7">
              <w:rPr>
                <w:rFonts w:eastAsia="標楷體"/>
              </w:rPr>
              <w:t>(</w:t>
            </w:r>
            <w:r w:rsidRPr="003139A7">
              <w:rPr>
                <w:rFonts w:eastAsia="標楷體" w:hint="eastAsia"/>
              </w:rPr>
              <w:t>天</w:t>
            </w:r>
            <w:r w:rsidRPr="003139A7">
              <w:rPr>
                <w:rFonts w:eastAsia="標楷體"/>
              </w:rPr>
              <w:t>)</w:t>
            </w:r>
          </w:p>
        </w:tc>
        <w:tc>
          <w:tcPr>
            <w:tcW w:w="2294" w:type="dxa"/>
            <w:vAlign w:val="center"/>
          </w:tcPr>
          <w:p w:rsidR="003139A7" w:rsidRPr="00EB035E" w:rsidRDefault="00DB7B39" w:rsidP="009576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131.77</w:t>
            </w:r>
          </w:p>
        </w:tc>
        <w:tc>
          <w:tcPr>
            <w:tcW w:w="2160" w:type="dxa"/>
            <w:vAlign w:val="center"/>
          </w:tcPr>
          <w:p w:rsidR="003139A7" w:rsidRPr="00EB035E" w:rsidRDefault="00DB7B39" w:rsidP="009576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64.95</w:t>
            </w:r>
          </w:p>
        </w:tc>
        <w:tc>
          <w:tcPr>
            <w:tcW w:w="2160" w:type="dxa"/>
            <w:vAlign w:val="center"/>
          </w:tcPr>
          <w:p w:rsidR="003139A7" w:rsidRPr="00EB035E" w:rsidRDefault="00065F31" w:rsidP="009576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41.10</w:t>
            </w:r>
          </w:p>
        </w:tc>
      </w:tr>
      <w:tr w:rsidR="003139A7" w:rsidRPr="003139A7" w:rsidTr="00077EF1">
        <w:trPr>
          <w:cantSplit/>
        </w:trPr>
        <w:tc>
          <w:tcPr>
            <w:tcW w:w="568" w:type="dxa"/>
            <w:vMerge/>
          </w:tcPr>
          <w:p w:rsidR="003139A7" w:rsidRPr="003139A7" w:rsidRDefault="003139A7">
            <w:pPr>
              <w:jc w:val="both"/>
              <w:rPr>
                <w:rFonts w:eastAsia="標楷體"/>
              </w:rPr>
            </w:pPr>
          </w:p>
        </w:tc>
        <w:tc>
          <w:tcPr>
            <w:tcW w:w="2566" w:type="dxa"/>
            <w:shd w:val="clear" w:color="auto" w:fill="F9F9F9"/>
          </w:tcPr>
          <w:p w:rsidR="003139A7" w:rsidRPr="003139A7" w:rsidRDefault="003139A7">
            <w:pPr>
              <w:jc w:val="both"/>
              <w:rPr>
                <w:rFonts w:eastAsia="標楷體"/>
              </w:rPr>
            </w:pPr>
            <w:r w:rsidRPr="003139A7">
              <w:rPr>
                <w:rFonts w:eastAsia="標楷體"/>
              </w:rPr>
              <w:t>負債比率</w:t>
            </w:r>
            <w:r w:rsidRPr="003139A7">
              <w:rPr>
                <w:rFonts w:eastAsia="標楷體"/>
              </w:rPr>
              <w:t>(%)</w:t>
            </w:r>
          </w:p>
        </w:tc>
        <w:tc>
          <w:tcPr>
            <w:tcW w:w="2294" w:type="dxa"/>
            <w:vAlign w:val="center"/>
          </w:tcPr>
          <w:p w:rsidR="003139A7" w:rsidRPr="00EB035E" w:rsidRDefault="003139A7" w:rsidP="00957627">
            <w:pPr>
              <w:jc w:val="center"/>
              <w:rPr>
                <w:rFonts w:eastAsia="標楷體"/>
              </w:rPr>
            </w:pPr>
            <w:r w:rsidRPr="00EB035E">
              <w:rPr>
                <w:rFonts w:eastAsia="標楷體" w:hint="eastAsia"/>
              </w:rPr>
              <w:t>22.35</w:t>
            </w:r>
          </w:p>
        </w:tc>
        <w:tc>
          <w:tcPr>
            <w:tcW w:w="2160" w:type="dxa"/>
            <w:vAlign w:val="center"/>
          </w:tcPr>
          <w:p w:rsidR="003139A7" w:rsidRPr="00EB035E" w:rsidRDefault="003139A7" w:rsidP="00957627">
            <w:pPr>
              <w:jc w:val="center"/>
              <w:rPr>
                <w:rFonts w:eastAsia="標楷體"/>
              </w:rPr>
            </w:pPr>
            <w:r w:rsidRPr="00EB035E">
              <w:rPr>
                <w:rFonts w:eastAsia="標楷體" w:hint="eastAsia"/>
              </w:rPr>
              <w:t>12.78</w:t>
            </w:r>
          </w:p>
        </w:tc>
        <w:tc>
          <w:tcPr>
            <w:tcW w:w="2160" w:type="dxa"/>
            <w:vAlign w:val="center"/>
          </w:tcPr>
          <w:p w:rsidR="003139A7" w:rsidRPr="00EB035E" w:rsidRDefault="003139A7" w:rsidP="00957627">
            <w:pPr>
              <w:jc w:val="center"/>
              <w:rPr>
                <w:rFonts w:eastAsia="標楷體"/>
              </w:rPr>
            </w:pPr>
            <w:r w:rsidRPr="00EB035E">
              <w:rPr>
                <w:rFonts w:eastAsia="標楷體" w:hint="eastAsia"/>
              </w:rPr>
              <w:t>18.65</w:t>
            </w:r>
          </w:p>
        </w:tc>
      </w:tr>
    </w:tbl>
    <w:p w:rsidR="00161123" w:rsidRDefault="0016112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                                                        </w:t>
      </w:r>
      <w:r w:rsidR="006C0247">
        <w:rPr>
          <w:rFonts w:ascii="新細明體" w:hAnsi="新細明體" w:hint="eastAsia"/>
          <w:noProof/>
        </w:rPr>
        <w:drawing>
          <wp:inline distT="0" distB="0" distL="0" distR="0" wp14:anchorId="4EA35AEF" wp14:editId="6BE44F53">
            <wp:extent cx="409575" cy="152400"/>
            <wp:effectExtent l="0" t="0" r="9525" b="0"/>
            <wp:docPr id="10" name="圖片 10" descr="icon_to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con_to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23" w:rsidRDefault="00161123">
      <w:pPr>
        <w:rPr>
          <w:color w:val="FE8531"/>
          <w:sz w:val="20"/>
          <w:szCs w:val="20"/>
        </w:rPr>
      </w:pPr>
      <w:r>
        <w:rPr>
          <w:color w:val="FF6600"/>
          <w:sz w:val="20"/>
          <w:szCs w:val="20"/>
        </w:rPr>
        <w:t>投資人若欲查詢該公司更詳細之資料請連結至</w:t>
      </w:r>
      <w:hyperlink r:id="rId26" w:history="1">
        <w:r>
          <w:rPr>
            <w:rStyle w:val="a6"/>
            <w:rFonts w:ascii="新細明體" w:hAnsi="新細明體" w:hint="eastAsia"/>
            <w:b/>
            <w:color w:val="3366FF"/>
            <w:sz w:val="20"/>
            <w:szCs w:val="20"/>
          </w:rPr>
          <w:t>公開資訊觀測站</w:t>
        </w:r>
      </w:hyperlink>
      <w:r>
        <w:rPr>
          <w:color w:val="FF6600"/>
          <w:sz w:val="20"/>
          <w:szCs w:val="20"/>
        </w:rPr>
        <w:t>!!</w:t>
      </w:r>
    </w:p>
    <w:sectPr w:rsidR="00161123">
      <w:pgSz w:w="11906" w:h="16838" w:code="9"/>
      <w:pgMar w:top="1079" w:right="1134" w:bottom="851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50" w:rsidRDefault="000E0450">
      <w:r>
        <w:separator/>
      </w:r>
    </w:p>
  </w:endnote>
  <w:endnote w:type="continuationSeparator" w:id="0">
    <w:p w:rsidR="000E0450" w:rsidRDefault="000E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3" w:rsidRDefault="00161123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61123" w:rsidRDefault="001611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23" w:rsidRDefault="00161123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81BB2">
      <w:rPr>
        <w:rStyle w:val="ad"/>
        <w:noProof/>
      </w:rPr>
      <w:t>6</w:t>
    </w:r>
    <w:r>
      <w:rPr>
        <w:rStyle w:val="ad"/>
      </w:rPr>
      <w:fldChar w:fldCharType="end"/>
    </w:r>
  </w:p>
  <w:p w:rsidR="00161123" w:rsidRDefault="001611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50" w:rsidRDefault="000E0450">
      <w:r>
        <w:separator/>
      </w:r>
    </w:p>
  </w:footnote>
  <w:footnote w:type="continuationSeparator" w:id="0">
    <w:p w:rsidR="000E0450" w:rsidRDefault="000E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75pt;height:12.45pt" o:bullet="t">
        <v:imagedata r:id="rId1" o:title="icon_page_title"/>
      </v:shape>
    </w:pict>
  </w:numPicBullet>
  <w:abstractNum w:abstractNumId="0">
    <w:nsid w:val="2962467E"/>
    <w:multiLevelType w:val="hybridMultilevel"/>
    <w:tmpl w:val="4280A338"/>
    <w:lvl w:ilvl="0" w:tplc="468CE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C642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0EA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2E5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6FF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40F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160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C02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AEA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C0555"/>
    <w:multiLevelType w:val="hybridMultilevel"/>
    <w:tmpl w:val="9A6813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B942C99"/>
    <w:multiLevelType w:val="hybridMultilevel"/>
    <w:tmpl w:val="262E1DA4"/>
    <w:lvl w:ilvl="0" w:tplc="A09A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7C2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002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D81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36D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BC3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AAB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A7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84D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deded,#fffb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A"/>
    <w:rsid w:val="00024B7E"/>
    <w:rsid w:val="00043524"/>
    <w:rsid w:val="00044733"/>
    <w:rsid w:val="00052099"/>
    <w:rsid w:val="00055167"/>
    <w:rsid w:val="000607B3"/>
    <w:rsid w:val="00065F31"/>
    <w:rsid w:val="00077EF1"/>
    <w:rsid w:val="000A158B"/>
    <w:rsid w:val="000C1B62"/>
    <w:rsid w:val="000C42BF"/>
    <w:rsid w:val="000E0450"/>
    <w:rsid w:val="000E1928"/>
    <w:rsid w:val="001120B0"/>
    <w:rsid w:val="00127882"/>
    <w:rsid w:val="00161123"/>
    <w:rsid w:val="0016643A"/>
    <w:rsid w:val="0019438A"/>
    <w:rsid w:val="001A5C62"/>
    <w:rsid w:val="001B5351"/>
    <w:rsid w:val="001C242B"/>
    <w:rsid w:val="001C5257"/>
    <w:rsid w:val="0020043D"/>
    <w:rsid w:val="00207241"/>
    <w:rsid w:val="00242534"/>
    <w:rsid w:val="002647BB"/>
    <w:rsid w:val="00270437"/>
    <w:rsid w:val="00272320"/>
    <w:rsid w:val="002C7FAF"/>
    <w:rsid w:val="002F3ACD"/>
    <w:rsid w:val="00307D3A"/>
    <w:rsid w:val="003124A2"/>
    <w:rsid w:val="003139A7"/>
    <w:rsid w:val="00323F63"/>
    <w:rsid w:val="003335CB"/>
    <w:rsid w:val="003429CE"/>
    <w:rsid w:val="00344B69"/>
    <w:rsid w:val="00346FDC"/>
    <w:rsid w:val="00356392"/>
    <w:rsid w:val="003601EF"/>
    <w:rsid w:val="00385C47"/>
    <w:rsid w:val="00386B98"/>
    <w:rsid w:val="003F2A95"/>
    <w:rsid w:val="004179BF"/>
    <w:rsid w:val="004260DB"/>
    <w:rsid w:val="00432B09"/>
    <w:rsid w:val="00443AD8"/>
    <w:rsid w:val="00450F2B"/>
    <w:rsid w:val="00467C09"/>
    <w:rsid w:val="004B0D51"/>
    <w:rsid w:val="004B746E"/>
    <w:rsid w:val="004B7A09"/>
    <w:rsid w:val="004C7511"/>
    <w:rsid w:val="005071DA"/>
    <w:rsid w:val="00513DCB"/>
    <w:rsid w:val="00553CD3"/>
    <w:rsid w:val="00560277"/>
    <w:rsid w:val="00565CF3"/>
    <w:rsid w:val="005A469E"/>
    <w:rsid w:val="005A6D8F"/>
    <w:rsid w:val="005C537E"/>
    <w:rsid w:val="005E2BDC"/>
    <w:rsid w:val="005E4DD7"/>
    <w:rsid w:val="005E542F"/>
    <w:rsid w:val="006102D8"/>
    <w:rsid w:val="00611233"/>
    <w:rsid w:val="00616F12"/>
    <w:rsid w:val="0064437B"/>
    <w:rsid w:val="00662378"/>
    <w:rsid w:val="006922FD"/>
    <w:rsid w:val="006A2EF8"/>
    <w:rsid w:val="006B0756"/>
    <w:rsid w:val="006C0247"/>
    <w:rsid w:val="006F69E4"/>
    <w:rsid w:val="007104AD"/>
    <w:rsid w:val="007150A4"/>
    <w:rsid w:val="00724899"/>
    <w:rsid w:val="00734F9A"/>
    <w:rsid w:val="007609BE"/>
    <w:rsid w:val="007975D8"/>
    <w:rsid w:val="007A217A"/>
    <w:rsid w:val="007A638A"/>
    <w:rsid w:val="00802465"/>
    <w:rsid w:val="00823A89"/>
    <w:rsid w:val="00837833"/>
    <w:rsid w:val="00881BB2"/>
    <w:rsid w:val="008E27A7"/>
    <w:rsid w:val="0092788A"/>
    <w:rsid w:val="00943697"/>
    <w:rsid w:val="00957627"/>
    <w:rsid w:val="009675D7"/>
    <w:rsid w:val="0097783D"/>
    <w:rsid w:val="00984101"/>
    <w:rsid w:val="009D439E"/>
    <w:rsid w:val="009E3D9E"/>
    <w:rsid w:val="00A0374A"/>
    <w:rsid w:val="00A277D2"/>
    <w:rsid w:val="00A46B6A"/>
    <w:rsid w:val="00A6281E"/>
    <w:rsid w:val="00AB797F"/>
    <w:rsid w:val="00B0266B"/>
    <w:rsid w:val="00B05092"/>
    <w:rsid w:val="00B20356"/>
    <w:rsid w:val="00B40A0A"/>
    <w:rsid w:val="00B55A49"/>
    <w:rsid w:val="00BA0512"/>
    <w:rsid w:val="00BB5FB1"/>
    <w:rsid w:val="00BC4F64"/>
    <w:rsid w:val="00BD1FF4"/>
    <w:rsid w:val="00BD68BD"/>
    <w:rsid w:val="00BF2B97"/>
    <w:rsid w:val="00C15569"/>
    <w:rsid w:val="00C62170"/>
    <w:rsid w:val="00C67D60"/>
    <w:rsid w:val="00C7359E"/>
    <w:rsid w:val="00CC07DE"/>
    <w:rsid w:val="00CC0AFA"/>
    <w:rsid w:val="00CC1A31"/>
    <w:rsid w:val="00CC482B"/>
    <w:rsid w:val="00D11DAB"/>
    <w:rsid w:val="00D22FA1"/>
    <w:rsid w:val="00D23BBA"/>
    <w:rsid w:val="00D364AD"/>
    <w:rsid w:val="00D41C42"/>
    <w:rsid w:val="00D7031A"/>
    <w:rsid w:val="00D75ACA"/>
    <w:rsid w:val="00DA3592"/>
    <w:rsid w:val="00DA75FC"/>
    <w:rsid w:val="00DA7A93"/>
    <w:rsid w:val="00DB46A3"/>
    <w:rsid w:val="00DB7B39"/>
    <w:rsid w:val="00DC0021"/>
    <w:rsid w:val="00E015D1"/>
    <w:rsid w:val="00E01C36"/>
    <w:rsid w:val="00E44CB2"/>
    <w:rsid w:val="00E521DA"/>
    <w:rsid w:val="00E84B7A"/>
    <w:rsid w:val="00EA4BD7"/>
    <w:rsid w:val="00EB076F"/>
    <w:rsid w:val="00EB1F0B"/>
    <w:rsid w:val="00EE0AA2"/>
    <w:rsid w:val="00EE1EC5"/>
    <w:rsid w:val="00EF10AF"/>
    <w:rsid w:val="00F23D95"/>
    <w:rsid w:val="00F97EB6"/>
    <w:rsid w:val="00FA1271"/>
    <w:rsid w:val="00FC1B5F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ded,#fffb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0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 w:hint="eastAsia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Pr>
      <w:b/>
      <w:bCs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 w:hint="default"/>
      <w:b/>
      <w:bCs/>
      <w:color w:val="626262"/>
      <w:sz w:val="12"/>
      <w:szCs w:val="12"/>
    </w:rPr>
  </w:style>
  <w:style w:type="character" w:customStyle="1" w:styleId="orangeword12px1">
    <w:name w:val="orangeword_12px1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qFormat/>
    <w:rPr>
      <w:sz w:val="20"/>
      <w:szCs w:val="20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c">
    <w:name w:val="Date"/>
    <w:basedOn w:val="a"/>
    <w:next w:val="a"/>
    <w:semiHidden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59"/>
    <w:rsid w:val="00BF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7043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9D439E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C67D6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格內文"/>
    <w:basedOn w:val="a"/>
    <w:pPr>
      <w:snapToGrid w:val="0"/>
      <w:spacing w:line="200" w:lineRule="atLeast"/>
      <w:jc w:val="center"/>
    </w:pPr>
    <w:rPr>
      <w:rFonts w:eastAsia="標楷體"/>
      <w:szCs w:val="20"/>
    </w:rPr>
  </w:style>
  <w:style w:type="paragraph" w:styleId="a4">
    <w:name w:val="Body Text"/>
    <w:basedOn w:val="a"/>
    <w:semiHidden/>
    <w:pPr>
      <w:spacing w:line="240" w:lineRule="exact"/>
    </w:pPr>
    <w:rPr>
      <w:rFonts w:eastAsia="標楷體"/>
      <w:color w:val="FF0000"/>
      <w:sz w:val="16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HTML0">
    <w:name w:val="HTML Typewriter"/>
    <w:semiHidden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7">
    <w:name w:val="style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color w:val="000099"/>
      <w:kern w:val="0"/>
    </w:rPr>
  </w:style>
  <w:style w:type="character" w:customStyle="1" w:styleId="style61">
    <w:name w:val="style61"/>
    <w:rPr>
      <w:rFonts w:ascii="新細明體" w:eastAsia="新細明體" w:hAnsi="新細明體" w:hint="eastAsia"/>
    </w:rPr>
  </w:style>
  <w:style w:type="character" w:customStyle="1" w:styleId="style31">
    <w:name w:val="style31"/>
    <w:rPr>
      <w:b/>
      <w:bCs/>
      <w:color w:val="000099"/>
    </w:rPr>
  </w:style>
  <w:style w:type="character" w:customStyle="1" w:styleId="style71">
    <w:name w:val="style71"/>
    <w:rPr>
      <w:rFonts w:ascii="新細明體" w:eastAsia="新細明體" w:hAnsi="新細明體" w:hint="eastAsia"/>
      <w:b/>
      <w:bCs/>
      <w:color w:val="000099"/>
    </w:rPr>
  </w:style>
  <w:style w:type="character" w:styleId="a5">
    <w:name w:val="Strong"/>
    <w:qFormat/>
    <w:rPr>
      <w:b/>
      <w:bCs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titlebold1">
    <w:name w:val="title_bold1"/>
    <w:rPr>
      <w:rFonts w:ascii="Tahoma" w:hAnsi="Tahoma" w:cs="Tahoma" w:hint="default"/>
      <w:b/>
      <w:bCs/>
      <w:color w:val="626262"/>
      <w:sz w:val="12"/>
      <w:szCs w:val="12"/>
    </w:rPr>
  </w:style>
  <w:style w:type="character" w:customStyle="1" w:styleId="orangeword12px1">
    <w:name w:val="orangeword_12px1"/>
    <w:rPr>
      <w:rFonts w:ascii="Tahoma" w:hAnsi="Tahoma" w:cs="Tahoma" w:hint="default"/>
      <w:strike w:val="0"/>
      <w:dstrike w:val="0"/>
      <w:color w:val="FF9900"/>
      <w:sz w:val="12"/>
      <w:szCs w:val="12"/>
      <w:u w:val="none"/>
      <w:effect w:val="none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caption"/>
    <w:basedOn w:val="a"/>
    <w:next w:val="a"/>
    <w:qFormat/>
    <w:rPr>
      <w:sz w:val="20"/>
      <w:szCs w:val="20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c">
    <w:name w:val="Date"/>
    <w:basedOn w:val="a"/>
    <w:next w:val="a"/>
    <w:semiHidden/>
    <w:pPr>
      <w:adjustRightInd w:val="0"/>
      <w:snapToGrid w:val="0"/>
      <w:spacing w:line="240" w:lineRule="atLeast"/>
      <w:jc w:val="right"/>
      <w:textAlignment w:val="baseline"/>
    </w:pPr>
    <w:rPr>
      <w:rFonts w:eastAsia="標楷體"/>
      <w:kern w:val="0"/>
      <w:szCs w:val="20"/>
    </w:rPr>
  </w:style>
  <w:style w:type="character" w:styleId="ad">
    <w:name w:val="page number"/>
    <w:basedOn w:val="a0"/>
    <w:semiHidden/>
  </w:style>
  <w:style w:type="table" w:styleId="ae">
    <w:name w:val="Table Grid"/>
    <w:basedOn w:val="a1"/>
    <w:uiPriority w:val="59"/>
    <w:rsid w:val="00BF2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7043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270437"/>
    <w:rPr>
      <w:rFonts w:ascii="Cambria" w:eastAsia="新細明體" w:hAnsi="Cambria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9D439E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C67D6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ome.pili.com.tw/news/2011072515521820815/" TargetMode="External"/><Relationship Id="rId18" Type="http://schemas.openxmlformats.org/officeDocument/2006/relationships/hyperlink" Target="http://shop.pili.com.tw/store/item.php?iid=NV04169A" TargetMode="External"/><Relationship Id="rId26" Type="http://schemas.openxmlformats.org/officeDocument/2006/relationships/hyperlink" Target="http://newmops.tse.com.tw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home.pili.com.tw/news/2011042819282566794/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li.com.tw/news/2011030715442470500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#&#31532;&#19968;&#38913;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home.pili.com.tw/news/2011102611420026973/" TargetMode="External"/><Relationship Id="rId22" Type="http://schemas.openxmlformats.org/officeDocument/2006/relationships/hyperlink" Target="http://channel.pili.com.tw/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4BC7-56EA-41C1-B099-601943F4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1064</Words>
  <Characters>6065</Characters>
  <Application>Microsoft Office Word</Application>
  <DocSecurity>0</DocSecurity>
  <Lines>50</Lines>
  <Paragraphs>14</Paragraphs>
  <ScaleCrop>false</ScaleCrop>
  <Company>abc</Company>
  <LinksUpToDate>false</LinksUpToDate>
  <CharactersWithSpaces>7115</CharactersWithSpaces>
  <SharedDoc>false</SharedDoc>
  <HLinks>
    <vt:vector size="102" baseType="variant">
      <vt:variant>
        <vt:i4>6946868</vt:i4>
      </vt:variant>
      <vt:variant>
        <vt:i4>60</vt:i4>
      </vt:variant>
      <vt:variant>
        <vt:i4>0</vt:i4>
      </vt:variant>
      <vt:variant>
        <vt:i4>5</vt:i4>
      </vt:variant>
      <vt:variant>
        <vt:lpwstr>http://newmops.tse.com.tw/</vt:lpwstr>
      </vt:variant>
      <vt:variant>
        <vt:lpwstr/>
      </vt:variant>
      <vt:variant>
        <vt:i4>1308654380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1308654380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http://channel.pili.com.tw/</vt:lpwstr>
      </vt:variant>
      <vt:variant>
        <vt:lpwstr/>
      </vt:variant>
      <vt:variant>
        <vt:i4>2883628</vt:i4>
      </vt:variant>
      <vt:variant>
        <vt:i4>39</vt:i4>
      </vt:variant>
      <vt:variant>
        <vt:i4>0</vt:i4>
      </vt:variant>
      <vt:variant>
        <vt:i4>5</vt:i4>
      </vt:variant>
      <vt:variant>
        <vt:lpwstr>http://shop.pili.com.tw/store/item.php?iid=NG05033</vt:lpwstr>
      </vt:variant>
      <vt:variant>
        <vt:lpwstr/>
      </vt:variant>
      <vt:variant>
        <vt:i4>2555961</vt:i4>
      </vt:variant>
      <vt:variant>
        <vt:i4>30</vt:i4>
      </vt:variant>
      <vt:variant>
        <vt:i4>0</vt:i4>
      </vt:variant>
      <vt:variant>
        <vt:i4>5</vt:i4>
      </vt:variant>
      <vt:variant>
        <vt:lpwstr>http://shop.pili.com.tw/store/item.php?iid=NV04169A</vt:lpwstr>
      </vt:variant>
      <vt:variant>
        <vt:lpwstr/>
      </vt:variant>
      <vt:variant>
        <vt:i4>1308654380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第一頁</vt:lpwstr>
      </vt:variant>
      <vt:variant>
        <vt:i4>5111812</vt:i4>
      </vt:variant>
      <vt:variant>
        <vt:i4>24</vt:i4>
      </vt:variant>
      <vt:variant>
        <vt:i4>0</vt:i4>
      </vt:variant>
      <vt:variant>
        <vt:i4>5</vt:i4>
      </vt:variant>
      <vt:variant>
        <vt:lpwstr>http://home.pili.com.tw/news/2011102611420026973/</vt:lpwstr>
      </vt:variant>
      <vt:variant>
        <vt:lpwstr/>
      </vt:variant>
      <vt:variant>
        <vt:i4>4718604</vt:i4>
      </vt:variant>
      <vt:variant>
        <vt:i4>21</vt:i4>
      </vt:variant>
      <vt:variant>
        <vt:i4>0</vt:i4>
      </vt:variant>
      <vt:variant>
        <vt:i4>5</vt:i4>
      </vt:variant>
      <vt:variant>
        <vt:lpwstr>http://home.pili.com.tw/news/2011072515521820815/</vt:lpwstr>
      </vt:variant>
      <vt:variant>
        <vt:lpwstr/>
      </vt:variant>
      <vt:variant>
        <vt:i4>4587527</vt:i4>
      </vt:variant>
      <vt:variant>
        <vt:i4>18</vt:i4>
      </vt:variant>
      <vt:variant>
        <vt:i4>0</vt:i4>
      </vt:variant>
      <vt:variant>
        <vt:i4>5</vt:i4>
      </vt:variant>
      <vt:variant>
        <vt:lpwstr>http://home.pili.com.tw/news/2011042819282566794/</vt:lpwstr>
      </vt:variant>
      <vt:variant>
        <vt:lpwstr/>
      </vt:variant>
      <vt:variant>
        <vt:i4>393237</vt:i4>
      </vt:variant>
      <vt:variant>
        <vt:i4>15</vt:i4>
      </vt:variant>
      <vt:variant>
        <vt:i4>0</vt:i4>
      </vt:variant>
      <vt:variant>
        <vt:i4>5</vt:i4>
      </vt:variant>
      <vt:variant>
        <vt:lpwstr>http://www.pili.com.tw/news/2011030715442470500/</vt:lpwstr>
      </vt:variant>
      <vt:variant>
        <vt:lpwstr/>
      </vt:variant>
      <vt:variant>
        <vt:i4>225427689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最近三年度財務比率及股利發放情形</vt:lpwstr>
      </vt:variant>
      <vt:variant>
        <vt:i4>629879979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最近五年度簡明資產負債表</vt:lpwstr>
      </vt:variant>
      <vt:variant>
        <vt:i4>241821023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最近五年度簡明損益表及申請年度截至最近月份止之自結損益表</vt:lpwstr>
      </vt:variant>
      <vt:variant>
        <vt:i4>-1380532397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主要業務項目</vt:lpwstr>
      </vt:variant>
      <vt:variant>
        <vt:i4>489893197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公司簡介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cherry</dc:creator>
  <cp:lastModifiedBy>王美華</cp:lastModifiedBy>
  <cp:revision>2</cp:revision>
  <cp:lastPrinted>2013-09-10T02:52:00Z</cp:lastPrinted>
  <dcterms:created xsi:type="dcterms:W3CDTF">2013-09-12T05:40:00Z</dcterms:created>
  <dcterms:modified xsi:type="dcterms:W3CDTF">2013-09-12T05:40:00Z</dcterms:modified>
</cp:coreProperties>
</file>