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EB7C" w14:textId="53EEAAD2" w:rsidR="000A3FA2" w:rsidRDefault="00000000" w:rsidP="00D42730">
      <w:pPr>
        <w:kinsoku w:val="0"/>
        <w:overflowPunct w:val="0"/>
        <w:adjustRightInd w:val="0"/>
        <w:snapToGrid w:val="0"/>
        <w:spacing w:line="480" w:lineRule="exact"/>
        <w:jc w:val="center"/>
        <w:rPr>
          <w:rFonts w:eastAsia="標楷體"/>
          <w:sz w:val="28"/>
          <w:szCs w:val="28"/>
        </w:rPr>
      </w:pPr>
      <w:hyperlink r:id="rId8" w:history="1">
        <w:r w:rsidR="00F46014" w:rsidRPr="00D42730">
          <w:rPr>
            <w:rFonts w:eastAsia="標楷體" w:hint="eastAsia"/>
            <w:sz w:val="28"/>
            <w:szCs w:val="28"/>
          </w:rPr>
          <w:t>財團法人中華民國證券櫃檯買賣中心</w:t>
        </w:r>
      </w:hyperlink>
    </w:p>
    <w:p w14:paraId="65853FB7" w14:textId="23FCA21F" w:rsidR="007408A0" w:rsidRDefault="007408A0" w:rsidP="00D42730">
      <w:pPr>
        <w:kinsoku w:val="0"/>
        <w:overflowPunct w:val="0"/>
        <w:adjustRightInd w:val="0"/>
        <w:snapToGrid w:val="0"/>
        <w:spacing w:line="480" w:lineRule="exact"/>
        <w:jc w:val="center"/>
        <w:rPr>
          <w:rFonts w:eastAsia="標楷體"/>
          <w:sz w:val="28"/>
          <w:szCs w:val="28"/>
        </w:rPr>
      </w:pPr>
      <w:r w:rsidRPr="007408A0">
        <w:rPr>
          <w:rFonts w:eastAsia="標楷體" w:hint="eastAsia"/>
          <w:sz w:val="28"/>
          <w:szCs w:val="28"/>
        </w:rPr>
        <w:t>對有價證券上櫃公司資訊申報作業辦法</w:t>
      </w:r>
    </w:p>
    <w:p w14:paraId="4DA036D7" w14:textId="37119BF3" w:rsidR="00F46014" w:rsidRPr="00D42730" w:rsidRDefault="00F46014" w:rsidP="00D42730">
      <w:pPr>
        <w:kinsoku w:val="0"/>
        <w:overflowPunct w:val="0"/>
        <w:adjustRightInd w:val="0"/>
        <w:snapToGrid w:val="0"/>
        <w:spacing w:line="480" w:lineRule="exact"/>
        <w:jc w:val="center"/>
        <w:rPr>
          <w:rFonts w:eastAsia="標楷體"/>
          <w:sz w:val="28"/>
          <w:szCs w:val="28"/>
        </w:rPr>
      </w:pPr>
      <w:r w:rsidRPr="00D42730">
        <w:rPr>
          <w:rFonts w:eastAsia="標楷體" w:hint="eastAsia"/>
          <w:sz w:val="28"/>
          <w:szCs w:val="28"/>
        </w:rPr>
        <w:t>第三條</w:t>
      </w:r>
      <w:r w:rsidR="007408A0">
        <w:rPr>
          <w:rFonts w:eastAsia="標楷體" w:hint="eastAsia"/>
          <w:sz w:val="28"/>
          <w:szCs w:val="28"/>
        </w:rPr>
        <w:t>及</w:t>
      </w:r>
      <w:r w:rsidR="00B554F3">
        <w:rPr>
          <w:rFonts w:eastAsia="標楷體" w:hint="eastAsia"/>
          <w:sz w:val="28"/>
          <w:szCs w:val="28"/>
        </w:rPr>
        <w:t>第六條</w:t>
      </w:r>
      <w:r w:rsidRPr="00D42730">
        <w:rPr>
          <w:rFonts w:eastAsia="標楷體" w:hint="eastAsia"/>
          <w:sz w:val="28"/>
          <w:szCs w:val="28"/>
        </w:rPr>
        <w:t>修正條文對照表</w:t>
      </w:r>
    </w:p>
    <w:tbl>
      <w:tblPr>
        <w:tblStyle w:val="a3"/>
        <w:tblW w:w="8642" w:type="dxa"/>
        <w:tblLook w:val="04A0" w:firstRow="1" w:lastRow="0" w:firstColumn="1" w:lastColumn="0" w:noHBand="0" w:noVBand="1"/>
      </w:tblPr>
      <w:tblGrid>
        <w:gridCol w:w="2974"/>
        <w:gridCol w:w="2975"/>
        <w:gridCol w:w="2693"/>
      </w:tblGrid>
      <w:tr w:rsidR="009E4644" w:rsidRPr="000306D2" w14:paraId="3CC13CAB" w14:textId="77777777" w:rsidTr="00661016">
        <w:tc>
          <w:tcPr>
            <w:tcW w:w="2974" w:type="dxa"/>
            <w:shd w:val="clear" w:color="auto" w:fill="auto"/>
          </w:tcPr>
          <w:p w14:paraId="364AA734" w14:textId="77777777" w:rsidR="009E4644" w:rsidRPr="00D42730" w:rsidRDefault="009E4644" w:rsidP="00D42730">
            <w:pPr>
              <w:spacing w:line="480" w:lineRule="exact"/>
              <w:jc w:val="distribute"/>
              <w:rPr>
                <w:rFonts w:eastAsia="標楷體" w:cstheme="minorHAnsi"/>
                <w:bCs/>
                <w:color w:val="000000" w:themeColor="text1"/>
              </w:rPr>
            </w:pPr>
            <w:r w:rsidRPr="00D42730">
              <w:rPr>
                <w:rFonts w:ascii="標楷體" w:eastAsia="標楷體" w:hAnsi="標楷體" w:cs="Times New Roman" w:hint="eastAsia"/>
              </w:rPr>
              <w:t>修正條文</w:t>
            </w:r>
          </w:p>
        </w:tc>
        <w:tc>
          <w:tcPr>
            <w:tcW w:w="2975" w:type="dxa"/>
            <w:shd w:val="clear" w:color="auto" w:fill="auto"/>
          </w:tcPr>
          <w:p w14:paraId="68FD532D" w14:textId="77777777" w:rsidR="009E4644" w:rsidRPr="00D42730" w:rsidRDefault="009E4644" w:rsidP="00D42730">
            <w:pPr>
              <w:spacing w:line="480" w:lineRule="exact"/>
              <w:jc w:val="distribute"/>
              <w:rPr>
                <w:rFonts w:eastAsia="標楷體" w:cstheme="minorHAnsi"/>
                <w:bCs/>
                <w:color w:val="000000" w:themeColor="text1"/>
              </w:rPr>
            </w:pPr>
            <w:r w:rsidRPr="00D42730">
              <w:rPr>
                <w:rFonts w:ascii="標楷體" w:eastAsia="標楷體" w:hAnsi="標楷體" w:cs="Times New Roman" w:hint="eastAsia"/>
              </w:rPr>
              <w:t>現行條文</w:t>
            </w:r>
          </w:p>
        </w:tc>
        <w:tc>
          <w:tcPr>
            <w:tcW w:w="2693" w:type="dxa"/>
            <w:shd w:val="clear" w:color="auto" w:fill="auto"/>
          </w:tcPr>
          <w:p w14:paraId="596CC4A8" w14:textId="77777777" w:rsidR="009E4644" w:rsidRPr="00D42730" w:rsidRDefault="009E4644" w:rsidP="00D42730">
            <w:pPr>
              <w:spacing w:line="480" w:lineRule="exact"/>
              <w:jc w:val="distribute"/>
              <w:rPr>
                <w:rFonts w:ascii="標楷體" w:eastAsia="標楷體" w:hAnsi="標楷體" w:cs="Times New Roman"/>
              </w:rPr>
            </w:pPr>
            <w:r w:rsidRPr="00D42730">
              <w:rPr>
                <w:rFonts w:ascii="標楷體" w:eastAsia="標楷體" w:hAnsi="標楷體" w:cs="Times New Roman" w:hint="eastAsia"/>
              </w:rPr>
              <w:t>說明</w:t>
            </w:r>
          </w:p>
        </w:tc>
      </w:tr>
      <w:tr w:rsidR="009E4644" w:rsidRPr="00EF3215" w14:paraId="692FC7A3" w14:textId="77777777" w:rsidTr="00661016">
        <w:tc>
          <w:tcPr>
            <w:tcW w:w="2974" w:type="dxa"/>
          </w:tcPr>
          <w:p w14:paraId="5C414B94" w14:textId="24CD0CC5" w:rsidR="00D11554" w:rsidRDefault="00EE6AA4" w:rsidP="00D42730">
            <w:pPr>
              <w:spacing w:line="360" w:lineRule="exact"/>
              <w:jc w:val="both"/>
              <w:rPr>
                <w:rFonts w:ascii="標楷體" w:eastAsia="標楷體" w:hAnsi="標楷體" w:cs="細明體"/>
                <w:color w:val="000000"/>
                <w:kern w:val="0"/>
                <w:szCs w:val="24"/>
              </w:rPr>
            </w:pPr>
            <w:r w:rsidRPr="00D11554">
              <w:rPr>
                <w:rFonts w:ascii="標楷體" w:eastAsia="標楷體" w:hAnsi="標楷體" w:cs="細明體" w:hint="eastAsia"/>
                <w:color w:val="000000"/>
                <w:kern w:val="0"/>
                <w:szCs w:val="24"/>
              </w:rPr>
              <w:t>第</w:t>
            </w:r>
            <w:r w:rsidR="00D11554" w:rsidRPr="00D11554">
              <w:rPr>
                <w:rFonts w:ascii="標楷體" w:eastAsia="標楷體" w:hAnsi="標楷體" w:cs="細明體" w:hint="eastAsia"/>
                <w:color w:val="000000"/>
                <w:kern w:val="0"/>
                <w:szCs w:val="24"/>
              </w:rPr>
              <w:t>三</w:t>
            </w:r>
            <w:r w:rsidRPr="00D11554">
              <w:rPr>
                <w:rFonts w:ascii="標楷體" w:eastAsia="標楷體" w:hAnsi="標楷體" w:cs="細明體" w:hint="eastAsia"/>
                <w:color w:val="000000"/>
                <w:kern w:val="0"/>
                <w:szCs w:val="24"/>
              </w:rPr>
              <w:t>條</w:t>
            </w:r>
          </w:p>
          <w:p w14:paraId="7B1CBCFD" w14:textId="77777777" w:rsidR="00F90F91" w:rsidRPr="00AE083B" w:rsidRDefault="00F90F91" w:rsidP="00F90F91">
            <w:pPr>
              <w:spacing w:line="400" w:lineRule="exact"/>
              <w:jc w:val="both"/>
              <w:rPr>
                <w:rFonts w:ascii="標楷體" w:eastAsia="標楷體" w:hAnsi="標楷體"/>
              </w:rPr>
            </w:pPr>
            <w:r>
              <w:rPr>
                <w:rFonts w:ascii="標楷體" w:eastAsia="標楷體" w:hAnsi="標楷體"/>
                <w:color w:val="000000"/>
              </w:rPr>
              <w:t>(第</w:t>
            </w:r>
            <w:r>
              <w:rPr>
                <w:rFonts w:ascii="標楷體" w:eastAsia="標楷體" w:hAnsi="標楷體" w:hint="eastAsia"/>
                <w:color w:val="000000"/>
              </w:rPr>
              <w:t>一項</w:t>
            </w:r>
            <w:r>
              <w:rPr>
                <w:rFonts w:ascii="標楷體" w:eastAsia="標楷體" w:hAnsi="標楷體"/>
                <w:color w:val="000000"/>
              </w:rPr>
              <w:t>略)</w:t>
            </w:r>
          </w:p>
          <w:p w14:paraId="44E61ED2" w14:textId="28E4CA4B" w:rsidR="00D11554" w:rsidRDefault="00F46014" w:rsidP="00D42730">
            <w:pPr>
              <w:pStyle w:val="HTML"/>
              <w:spacing w:line="360" w:lineRule="exact"/>
              <w:jc w:val="both"/>
              <w:rPr>
                <w:rFonts w:ascii="標楷體" w:eastAsia="標楷體" w:hAnsi="標楷體" w:cstheme="minorBidi"/>
                <w:noProof/>
                <w:kern w:val="2"/>
                <w:szCs w:val="22"/>
              </w:rPr>
            </w:pPr>
            <w:r w:rsidRPr="00F46014">
              <w:rPr>
                <w:rFonts w:ascii="標楷體" w:eastAsia="標楷體" w:hAnsi="標楷體" w:cstheme="minorBidi" w:hint="eastAsia"/>
                <w:noProof/>
                <w:kern w:val="2"/>
                <w:szCs w:val="22"/>
              </w:rPr>
              <w:t>股票上櫃</w:t>
            </w:r>
            <w:r w:rsidR="00D11554" w:rsidRPr="00D11554">
              <w:rPr>
                <w:rFonts w:ascii="標楷體" w:eastAsia="標楷體" w:hAnsi="標楷體" w:cstheme="minorBidi" w:hint="eastAsia"/>
                <w:noProof/>
                <w:kern w:val="2"/>
                <w:szCs w:val="22"/>
              </w:rPr>
              <w:t>公司應向</w:t>
            </w:r>
            <w:r w:rsidRPr="00F46014">
              <w:rPr>
                <w:rFonts w:ascii="標楷體" w:eastAsia="標楷體" w:hAnsi="標楷體" w:cstheme="minorBidi" w:hint="eastAsia"/>
                <w:noProof/>
                <w:kern w:val="2"/>
                <w:szCs w:val="22"/>
              </w:rPr>
              <w:t>本中心</w:t>
            </w:r>
            <w:r w:rsidR="00D11554" w:rsidRPr="00D11554">
              <w:rPr>
                <w:rFonts w:ascii="標楷體" w:eastAsia="標楷體" w:hAnsi="標楷體" w:cstheme="minorBidi" w:hint="eastAsia"/>
                <w:noProof/>
                <w:kern w:val="2"/>
                <w:szCs w:val="22"/>
              </w:rPr>
              <w:t>不定期申報資訊之事項及時限，依下列各款之規定：</w:t>
            </w:r>
          </w:p>
          <w:p w14:paraId="4B39489D" w14:textId="10178BE3" w:rsidR="00436D59" w:rsidRPr="00436D59" w:rsidRDefault="00436D59" w:rsidP="00D42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rPr>
            </w:pPr>
            <w:r w:rsidRPr="008424A4">
              <w:rPr>
                <w:rFonts w:ascii="標楷體" w:eastAsia="標楷體" w:hAnsi="標楷體" w:hint="eastAsia"/>
                <w:color w:val="000000"/>
              </w:rPr>
              <w:t>(第一款至第</w:t>
            </w:r>
            <w:r w:rsidR="00AC1E36">
              <w:rPr>
                <w:rFonts w:ascii="標楷體" w:eastAsia="標楷體" w:hAnsi="標楷體" w:hint="eastAsia"/>
                <w:color w:val="000000"/>
              </w:rPr>
              <w:t>二</w:t>
            </w:r>
            <w:r w:rsidR="00AC1E36" w:rsidRPr="008424A4">
              <w:rPr>
                <w:rFonts w:ascii="標楷體" w:eastAsia="標楷體" w:hAnsi="標楷體" w:hint="eastAsia"/>
                <w:color w:val="000000"/>
              </w:rPr>
              <w:t>十</w:t>
            </w:r>
            <w:r w:rsidR="00AC1E36">
              <w:rPr>
                <w:rFonts w:ascii="標楷體" w:eastAsia="標楷體" w:hAnsi="標楷體" w:hint="eastAsia"/>
                <w:color w:val="000000"/>
              </w:rPr>
              <w:t>一</w:t>
            </w:r>
            <w:r w:rsidRPr="008424A4">
              <w:rPr>
                <w:rFonts w:ascii="標楷體" w:eastAsia="標楷體" w:hAnsi="標楷體" w:hint="eastAsia"/>
                <w:color w:val="000000"/>
              </w:rPr>
              <w:t>款略)</w:t>
            </w:r>
          </w:p>
          <w:p w14:paraId="732E1B03" w14:textId="77777777" w:rsidR="00AD1106" w:rsidRPr="00AD1106" w:rsidRDefault="00AD1106" w:rsidP="00AD1106">
            <w:pPr>
              <w:widowControl/>
              <w:spacing w:line="360" w:lineRule="exact"/>
              <w:ind w:left="355" w:hangingChars="148" w:hanging="355"/>
              <w:jc w:val="both"/>
              <w:rPr>
                <w:rFonts w:ascii="Times New Roman" w:eastAsia="標楷體" w:hAnsi="Times New Roman" w:cs="Times New Roman"/>
              </w:rPr>
            </w:pPr>
            <w:r w:rsidRPr="00AD1106">
              <w:rPr>
                <w:rFonts w:ascii="Times New Roman" w:eastAsia="標楷體" w:hAnsi="Times New Roman" w:cs="Times New Roman" w:hint="eastAsia"/>
              </w:rPr>
              <w:t>二十二</w:t>
            </w:r>
            <w:r>
              <w:rPr>
                <w:rFonts w:ascii="Times New Roman" w:eastAsia="標楷體" w:hAnsi="Times New Roman" w:cs="Times New Roman" w:hint="eastAsia"/>
                <w:color w:val="000000" w:themeColor="text1"/>
              </w:rPr>
              <w:t>、</w:t>
            </w:r>
            <w:r w:rsidRPr="00AD1106">
              <w:rPr>
                <w:rFonts w:ascii="Times New Roman" w:eastAsia="標楷體" w:hAnsi="Times New Roman" w:cs="Times New Roman" w:hint="eastAsia"/>
              </w:rPr>
              <w:t>召開股東會辦理提名董監事</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含獨立董事</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之資訊：</w:t>
            </w:r>
          </w:p>
          <w:p w14:paraId="4ACF2F2F" w14:textId="77777777" w:rsidR="00AD1106" w:rsidRP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一</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應於停止變更股東名簿記載日前公告受理提名及作業流程；</w:t>
            </w:r>
          </w:p>
          <w:p w14:paraId="095209E6" w14:textId="77777777" w:rsidR="00AD1106" w:rsidRP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二</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應於受理期間截止日後二日內公告被提名人名單；</w:t>
            </w:r>
          </w:p>
          <w:p w14:paraId="2B527EA5" w14:textId="70D3940B" w:rsidR="00AD1106" w:rsidRP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三</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應於董事會決議後二日內、股東常會開會四十日前或股東臨時會開會二十五日前，以上開日期孰前者為準，公告董事會決議結果、候選人名單及被提名人未列入候選人名單之理由</w:t>
            </w:r>
            <w:r w:rsidR="00C71CBC" w:rsidRPr="005A75B7">
              <w:rPr>
                <w:rFonts w:ascii="標楷體" w:eastAsia="標楷體" w:hAnsi="標楷體"/>
                <w:color w:val="FF0000"/>
                <w:u w:val="single"/>
              </w:rPr>
              <w:t>，候選人名單應包含候選人姓名、學歷、經歷、現職、所代表之政府或法人名稱</w:t>
            </w:r>
            <w:r w:rsidR="00E855F6" w:rsidRPr="005A75B7">
              <w:rPr>
                <w:rFonts w:ascii="Times New Roman" w:eastAsia="標楷體" w:hAnsi="Times New Roman"/>
                <w:color w:val="FF0000"/>
                <w:u w:val="single"/>
              </w:rPr>
              <w:t>及</w:t>
            </w:r>
            <w:r w:rsidR="00C71CBC" w:rsidRPr="005A75B7">
              <w:rPr>
                <w:rFonts w:ascii="標楷體" w:eastAsia="標楷體" w:hAnsi="標楷體"/>
                <w:color w:val="FF0000"/>
                <w:u w:val="single"/>
              </w:rPr>
              <w:t>自願揭露</w:t>
            </w:r>
            <w:r w:rsidR="00C71CBC" w:rsidRPr="005A75B7">
              <w:rPr>
                <w:rFonts w:ascii="標楷體" w:eastAsia="標楷體" w:hAnsi="標楷體"/>
                <w:color w:val="FF0000"/>
                <w:u w:val="single"/>
              </w:rPr>
              <w:lastRenderedPageBreak/>
              <w:t>資訊</w:t>
            </w:r>
            <w:r w:rsidR="00C71CBC" w:rsidRPr="005A75B7">
              <w:rPr>
                <w:rFonts w:ascii="Times New Roman" w:eastAsia="標楷體" w:hAnsi="Times New Roman"/>
                <w:color w:val="FF0000"/>
                <w:u w:val="single"/>
              </w:rPr>
              <w:t>（如：性別等）</w:t>
            </w:r>
            <w:r w:rsidR="00C71CBC">
              <w:rPr>
                <w:rFonts w:ascii="標楷體" w:eastAsia="標楷體" w:hAnsi="標楷體"/>
              </w:rPr>
              <w:t>；</w:t>
            </w:r>
          </w:p>
          <w:p w14:paraId="4ECE3E7F" w14:textId="1A1D8E40" w:rsidR="00422A41" w:rsidRDefault="00AD1106" w:rsidP="00422A41">
            <w:pPr>
              <w:widowControl/>
              <w:spacing w:line="360" w:lineRule="exact"/>
              <w:ind w:leftChars="165" w:left="780" w:hangingChars="160" w:hanging="384"/>
              <w:jc w:val="both"/>
              <w:rPr>
                <w:rFonts w:ascii="標楷體" w:eastAsia="標楷體" w:hAnsi="標楷體"/>
                <w:noProof/>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四</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應於選舉後當日公告當選情形。</w:t>
            </w:r>
          </w:p>
          <w:p w14:paraId="6176A870" w14:textId="77777777" w:rsidR="00422A41" w:rsidRDefault="00422A41" w:rsidP="00422A41">
            <w:pPr>
              <w:widowControl/>
              <w:spacing w:line="360" w:lineRule="exact"/>
              <w:ind w:leftChars="-18" w:left="-43" w:firstLineChars="18" w:firstLine="43"/>
              <w:jc w:val="both"/>
              <w:rPr>
                <w:rFonts w:ascii="標楷體" w:eastAsia="標楷體" w:hAnsi="標楷體"/>
                <w:color w:val="000000"/>
              </w:rPr>
            </w:pPr>
            <w:r w:rsidRPr="008424A4">
              <w:rPr>
                <w:rFonts w:ascii="標楷體" w:eastAsia="標楷體" w:hAnsi="標楷體" w:hint="eastAsia"/>
                <w:color w:val="000000"/>
              </w:rPr>
              <w:t>(第</w:t>
            </w:r>
            <w:r>
              <w:rPr>
                <w:rFonts w:ascii="標楷體" w:eastAsia="標楷體" w:hAnsi="標楷體" w:hint="eastAsia"/>
                <w:color w:val="000000"/>
              </w:rPr>
              <w:t>二十三</w:t>
            </w:r>
            <w:r w:rsidRPr="008424A4">
              <w:rPr>
                <w:rFonts w:ascii="標楷體" w:eastAsia="標楷體" w:hAnsi="標楷體" w:hint="eastAsia"/>
                <w:color w:val="000000"/>
              </w:rPr>
              <w:t>款至第</w:t>
            </w:r>
            <w:r>
              <w:rPr>
                <w:rFonts w:ascii="標楷體" w:eastAsia="標楷體" w:hAnsi="標楷體" w:hint="eastAsia"/>
                <w:color w:val="000000"/>
              </w:rPr>
              <w:t>三</w:t>
            </w:r>
            <w:r w:rsidRPr="008424A4">
              <w:rPr>
                <w:rFonts w:ascii="標楷體" w:eastAsia="標楷體" w:hAnsi="標楷體" w:hint="eastAsia"/>
                <w:color w:val="000000"/>
              </w:rPr>
              <w:t>十</w:t>
            </w:r>
            <w:r>
              <w:rPr>
                <w:rFonts w:ascii="標楷體" w:eastAsia="標楷體" w:hAnsi="標楷體" w:hint="eastAsia"/>
                <w:color w:val="000000"/>
              </w:rPr>
              <w:t>一</w:t>
            </w:r>
            <w:r w:rsidRPr="008424A4">
              <w:rPr>
                <w:rFonts w:ascii="標楷體" w:eastAsia="標楷體" w:hAnsi="標楷體" w:hint="eastAsia"/>
                <w:color w:val="000000"/>
              </w:rPr>
              <w:t>款略)</w:t>
            </w:r>
          </w:p>
          <w:p w14:paraId="6FABEB18" w14:textId="5EA13B99" w:rsidR="00EF3215" w:rsidRDefault="00EF3215" w:rsidP="00EF3215">
            <w:pPr>
              <w:ind w:left="1015" w:hangingChars="423" w:hanging="1015"/>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三十二、依證券交易法第四十三條之一第一項取得股份申報辦法規定</w:t>
            </w:r>
            <w:r>
              <w:rPr>
                <w:rFonts w:ascii="Times New Roman" w:eastAsia="標楷體" w:hAnsi="Times New Roman" w:cs="Times New Roman" w:hint="eastAsia"/>
                <w:color w:val="FF0000"/>
                <w:u w:val="single"/>
              </w:rPr>
              <w:t>申報及公告之事項</w:t>
            </w:r>
            <w:r w:rsidR="0028570D">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 xml:space="preserve"> </w:t>
            </w:r>
          </w:p>
          <w:p w14:paraId="3166E4AA" w14:textId="37DDBC8E" w:rsidR="00EF3215" w:rsidRDefault="00EF3215" w:rsidP="00EF3215">
            <w:pPr>
              <w:ind w:left="624" w:hangingChars="260" w:hanging="624"/>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（一）初次</w:t>
            </w:r>
            <w:r>
              <w:rPr>
                <w:rFonts w:ascii="Times New Roman" w:eastAsia="標楷體" w:hAnsi="Times New Roman" w:cs="Times New Roman" w:hint="eastAsia"/>
                <w:color w:val="FF0000"/>
                <w:u w:val="single"/>
              </w:rPr>
              <w:t>申報及公告</w:t>
            </w:r>
            <w:r>
              <w:rPr>
                <w:rFonts w:ascii="Times New Roman" w:eastAsia="標楷體" w:hAnsi="Times New Roman" w:cs="Times New Roman" w:hint="eastAsia"/>
                <w:color w:val="000000" w:themeColor="text1"/>
              </w:rPr>
              <w:t>：</w:t>
            </w:r>
            <w:r w:rsidR="0028570D" w:rsidRPr="0028570D">
              <w:rPr>
                <w:rFonts w:ascii="Times New Roman" w:eastAsia="標楷體" w:hAnsi="Times New Roman" w:cs="Times New Roman" w:hint="eastAsia"/>
                <w:color w:val="000000" w:themeColor="text1"/>
              </w:rPr>
              <w:t>上櫃公司為取得人時，應於取得日起十日內自行輸入；上櫃公司為被取得股份之公司，且取得人非屬公開發行公司者，取得人應於取得日起八日內將應行申報事項送達上櫃公司，上櫃公司並應於送達日起二日內代為輸入。</w:t>
            </w:r>
          </w:p>
          <w:p w14:paraId="535F2BCB" w14:textId="6673AA5F" w:rsidR="00EF3215" w:rsidRDefault="00EF3215" w:rsidP="00EF3215">
            <w:pPr>
              <w:ind w:left="624" w:hangingChars="260" w:hanging="624"/>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（二）變動</w:t>
            </w:r>
            <w:r>
              <w:rPr>
                <w:rFonts w:ascii="Times New Roman" w:eastAsia="標楷體" w:hAnsi="Times New Roman" w:cs="Times New Roman" w:hint="eastAsia"/>
                <w:color w:val="FF0000"/>
                <w:u w:val="single"/>
              </w:rPr>
              <w:t>申報及公告</w:t>
            </w:r>
            <w:r>
              <w:rPr>
                <w:rFonts w:ascii="Times New Roman" w:eastAsia="標楷體" w:hAnsi="Times New Roman" w:cs="Times New Roman" w:hint="eastAsia"/>
                <w:color w:val="000000" w:themeColor="text1"/>
              </w:rPr>
              <w:t>：</w:t>
            </w:r>
            <w:r w:rsidR="0028570D" w:rsidRPr="0028570D">
              <w:rPr>
                <w:rFonts w:ascii="Times New Roman" w:eastAsia="標楷體" w:hAnsi="Times New Roman" w:cs="Times New Roman" w:hint="eastAsia"/>
                <w:color w:val="000000" w:themeColor="text1"/>
              </w:rPr>
              <w:t>上櫃公司為取得人時，應於事實發生之日起二日內自行輸入；上櫃公司為被取得股份之公司，且取得人非屬公開發行公司者，取得人應於事實發生之日起二日內將應行申報事項送達上櫃公司，上櫃公司並應於送達當日之次一營業日交易時間開始二小時前代為輸入</w:t>
            </w:r>
            <w:r>
              <w:rPr>
                <w:rFonts w:ascii="Times New Roman" w:eastAsia="標楷體" w:hAnsi="Times New Roman" w:cs="Times New Roman" w:hint="eastAsia"/>
                <w:color w:val="000000" w:themeColor="text1"/>
              </w:rPr>
              <w:t>。</w:t>
            </w:r>
          </w:p>
          <w:p w14:paraId="051FE304" w14:textId="65AFC23A" w:rsidR="00EF3215" w:rsidRDefault="00EF3215" w:rsidP="00EF3215">
            <w:pPr>
              <w:ind w:left="624" w:hangingChars="260" w:hanging="624"/>
              <w:jc w:val="both"/>
              <w:rPr>
                <w:rFonts w:ascii="Times New Roman" w:eastAsia="標楷體" w:hAnsi="Times New Roman" w:cs="Times New Roman"/>
                <w:color w:val="FF0000"/>
                <w:u w:val="single"/>
              </w:rPr>
            </w:pPr>
            <w:r>
              <w:rPr>
                <w:rFonts w:ascii="Times New Roman" w:eastAsia="標楷體" w:hAnsi="Times New Roman" w:cs="Times New Roman" w:hint="eastAsia"/>
                <w:color w:val="FF0000"/>
                <w:u w:val="single"/>
              </w:rPr>
              <w:t>（三）特別申報及公告：上櫃公司為被取得</w:t>
            </w:r>
            <w:r>
              <w:rPr>
                <w:rFonts w:ascii="Times New Roman" w:eastAsia="標楷體" w:hAnsi="Times New Roman" w:cs="Times New Roman" w:hint="eastAsia"/>
                <w:color w:val="FF0000"/>
                <w:u w:val="single"/>
              </w:rPr>
              <w:lastRenderedPageBreak/>
              <w:t>股份之公司，且取得人為政府管理之退休與保險基金者，取得人應於持股計算基準日</w:t>
            </w:r>
            <w:r>
              <w:rPr>
                <w:rFonts w:ascii="Times New Roman" w:eastAsia="標楷體" w:hAnsi="Times New Roman" w:cs="Times New Roman"/>
                <w:color w:val="FF0000"/>
                <w:u w:val="single"/>
              </w:rPr>
              <w:t>(</w:t>
            </w:r>
            <w:r>
              <w:rPr>
                <w:rFonts w:ascii="Times New Roman" w:eastAsia="標楷體" w:hAnsi="Times New Roman" w:cs="Times New Roman" w:hint="eastAsia"/>
                <w:color w:val="FF0000"/>
                <w:u w:val="single"/>
              </w:rPr>
              <w:t>每年六月三十日及十二月三十一日</w:t>
            </w:r>
            <w:r>
              <w:rPr>
                <w:rFonts w:ascii="Times New Roman" w:eastAsia="標楷體" w:hAnsi="Times New Roman" w:cs="Times New Roman"/>
                <w:color w:val="FF0000"/>
                <w:u w:val="single"/>
              </w:rPr>
              <w:t>)</w:t>
            </w:r>
            <w:r>
              <w:rPr>
                <w:rFonts w:ascii="Times New Roman" w:eastAsia="標楷體" w:hAnsi="Times New Roman" w:cs="Times New Roman" w:hint="eastAsia"/>
                <w:color w:val="FF0000"/>
                <w:u w:val="single"/>
              </w:rPr>
              <w:t>起八日內將</w:t>
            </w:r>
            <w:r w:rsidRPr="0055592C">
              <w:rPr>
                <w:rFonts w:ascii="Times New Roman" w:eastAsia="標楷體" w:hAnsi="Times New Roman" w:cs="Times New Roman" w:hint="eastAsia"/>
                <w:color w:val="FF0000"/>
                <w:u w:val="single"/>
              </w:rPr>
              <w:t>應</w:t>
            </w:r>
            <w:r w:rsidR="0055592C" w:rsidRPr="0055592C">
              <w:rPr>
                <w:rFonts w:ascii="Times New Roman" w:eastAsia="標楷體" w:hAnsi="Times New Roman" w:cs="Times New Roman" w:hint="eastAsia"/>
                <w:color w:val="FF0000"/>
                <w:u w:val="single"/>
              </w:rPr>
              <w:t>行</w:t>
            </w:r>
            <w:r w:rsidRPr="0055592C">
              <w:rPr>
                <w:rFonts w:ascii="Times New Roman" w:eastAsia="標楷體" w:hAnsi="Times New Roman" w:cs="Times New Roman" w:hint="eastAsia"/>
                <w:color w:val="FF0000"/>
                <w:u w:val="single"/>
              </w:rPr>
              <w:t>申報事項</w:t>
            </w:r>
            <w:r>
              <w:rPr>
                <w:rFonts w:ascii="Times New Roman" w:eastAsia="標楷體" w:hAnsi="Times New Roman" w:cs="Times New Roman" w:hint="eastAsia"/>
                <w:color w:val="FF0000"/>
                <w:u w:val="single"/>
              </w:rPr>
              <w:t>送達上櫃公司，上櫃公司並應於送達日起二日內代為輸入。</w:t>
            </w:r>
          </w:p>
          <w:p w14:paraId="3A0D6912" w14:textId="77777777" w:rsidR="001C78A7" w:rsidRPr="00FA6F3F" w:rsidRDefault="001C78A7" w:rsidP="001C78A7">
            <w:pPr>
              <w:ind w:leftChars="100" w:left="240"/>
              <w:jc w:val="both"/>
              <w:rPr>
                <w:rFonts w:ascii="Times New Roman" w:eastAsia="標楷體" w:hAnsi="Times New Roman" w:cs="Times New Roman"/>
                <w:color w:val="000000" w:themeColor="text1"/>
              </w:rPr>
            </w:pPr>
            <w:r>
              <w:rPr>
                <w:rFonts w:ascii="標楷體" w:eastAsia="標楷體" w:hAnsi="標楷體" w:cs="Times New Roman" w:hint="eastAsia"/>
                <w:color w:val="FF0000"/>
                <w:u w:val="single"/>
              </w:rPr>
              <w:t>本款</w:t>
            </w:r>
            <w:r w:rsidRPr="00C651C7">
              <w:rPr>
                <w:rFonts w:ascii="標楷體" w:eastAsia="標楷體" w:hAnsi="標楷體" w:cs="Times New Roman" w:hint="eastAsia"/>
                <w:color w:val="FF0000"/>
                <w:u w:val="single"/>
              </w:rPr>
              <w:t>應行申報事項輸入至公開資訊觀測站後，即屬完成申報及公告。</w:t>
            </w:r>
          </w:p>
          <w:p w14:paraId="26ED08EE" w14:textId="10B61FD9" w:rsidR="00263919" w:rsidRPr="00263919" w:rsidRDefault="00263919" w:rsidP="00D42730">
            <w:pPr>
              <w:spacing w:line="360" w:lineRule="exact"/>
              <w:ind w:firstLineChars="200" w:firstLine="480"/>
              <w:jc w:val="both"/>
              <w:rPr>
                <w:rFonts w:ascii="標楷體" w:eastAsia="標楷體" w:hAnsi="標楷體" w:cs="細明體"/>
                <w:color w:val="000000"/>
                <w:kern w:val="0"/>
                <w:szCs w:val="24"/>
              </w:rPr>
            </w:pPr>
            <w:r w:rsidRPr="00D34D2F">
              <w:rPr>
                <w:rFonts w:ascii="標楷體" w:eastAsia="標楷體" w:hAnsi="標楷體" w:hint="eastAsia"/>
              </w:rPr>
              <w:t>（以下略）</w:t>
            </w:r>
          </w:p>
        </w:tc>
        <w:tc>
          <w:tcPr>
            <w:tcW w:w="2975" w:type="dxa"/>
          </w:tcPr>
          <w:p w14:paraId="6E7C5DC3" w14:textId="52BB5283" w:rsidR="00EE6AA4" w:rsidRDefault="00D11554" w:rsidP="00D42730">
            <w:pPr>
              <w:widowControl/>
              <w:spacing w:line="36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第三</w:t>
            </w:r>
            <w:r w:rsidR="009E4644" w:rsidRPr="00EE6AA4">
              <w:rPr>
                <w:rFonts w:ascii="標楷體" w:eastAsia="標楷體" w:hAnsi="標楷體" w:cs="新細明體" w:hint="eastAsia"/>
                <w:color w:val="000000"/>
                <w:kern w:val="0"/>
                <w:szCs w:val="24"/>
              </w:rPr>
              <w:t>條</w:t>
            </w:r>
          </w:p>
          <w:p w14:paraId="3A2D7794" w14:textId="77777777" w:rsidR="00F90F91" w:rsidRPr="00AE083B" w:rsidRDefault="00F90F91" w:rsidP="00F90F91">
            <w:pPr>
              <w:spacing w:line="400" w:lineRule="exact"/>
              <w:jc w:val="both"/>
              <w:rPr>
                <w:rFonts w:ascii="標楷體" w:eastAsia="標楷體" w:hAnsi="標楷體"/>
              </w:rPr>
            </w:pPr>
            <w:r>
              <w:rPr>
                <w:rFonts w:ascii="標楷體" w:eastAsia="標楷體" w:hAnsi="標楷體"/>
                <w:color w:val="000000"/>
              </w:rPr>
              <w:t>(第</w:t>
            </w:r>
            <w:r>
              <w:rPr>
                <w:rFonts w:ascii="標楷體" w:eastAsia="標楷體" w:hAnsi="標楷體" w:hint="eastAsia"/>
                <w:color w:val="000000"/>
              </w:rPr>
              <w:t>一項</w:t>
            </w:r>
            <w:r>
              <w:rPr>
                <w:rFonts w:ascii="標楷體" w:eastAsia="標楷體" w:hAnsi="標楷體"/>
                <w:color w:val="000000"/>
              </w:rPr>
              <w:t>略)</w:t>
            </w:r>
          </w:p>
          <w:p w14:paraId="2E912F8B" w14:textId="0DD34924" w:rsidR="00D11554" w:rsidRDefault="00AD1106" w:rsidP="00D42730">
            <w:pPr>
              <w:pStyle w:val="HTML"/>
              <w:spacing w:line="360" w:lineRule="exact"/>
              <w:jc w:val="both"/>
              <w:rPr>
                <w:rFonts w:ascii="標楷體" w:eastAsia="標楷體" w:hAnsi="標楷體" w:cstheme="minorBidi"/>
                <w:noProof/>
                <w:kern w:val="2"/>
                <w:szCs w:val="22"/>
              </w:rPr>
            </w:pPr>
            <w:r w:rsidRPr="00AD1106">
              <w:rPr>
                <w:rFonts w:ascii="標楷體" w:eastAsia="標楷體" w:hAnsi="標楷體" w:cstheme="minorBidi" w:hint="eastAsia"/>
                <w:noProof/>
                <w:kern w:val="2"/>
                <w:szCs w:val="22"/>
              </w:rPr>
              <w:t>股票上櫃公司應向本中心不定期申報資訊之事項及時限，依下列各款之規定：</w:t>
            </w:r>
          </w:p>
          <w:p w14:paraId="3DA8B355" w14:textId="44538C56" w:rsidR="00014966" w:rsidRDefault="00436D59" w:rsidP="00014966">
            <w:pPr>
              <w:widowControl/>
              <w:spacing w:line="360" w:lineRule="exact"/>
              <w:ind w:leftChars="-18" w:left="-43" w:firstLineChars="18" w:firstLine="43"/>
              <w:jc w:val="both"/>
              <w:rPr>
                <w:rFonts w:ascii="標楷體" w:eastAsia="標楷體" w:hAnsi="標楷體"/>
                <w:color w:val="000000"/>
              </w:rPr>
            </w:pPr>
            <w:r w:rsidRPr="008424A4">
              <w:rPr>
                <w:rFonts w:ascii="標楷體" w:eastAsia="標楷體" w:hAnsi="標楷體" w:hint="eastAsia"/>
                <w:color w:val="000000"/>
              </w:rPr>
              <w:t>(第一款至第</w:t>
            </w:r>
            <w:r w:rsidR="00AD1106">
              <w:rPr>
                <w:rFonts w:ascii="標楷體" w:eastAsia="標楷體" w:hAnsi="標楷體" w:hint="eastAsia"/>
                <w:color w:val="000000"/>
              </w:rPr>
              <w:t>二</w:t>
            </w:r>
            <w:r w:rsidRPr="008424A4">
              <w:rPr>
                <w:rFonts w:ascii="標楷體" w:eastAsia="標楷體" w:hAnsi="標楷體" w:hint="eastAsia"/>
                <w:color w:val="000000"/>
              </w:rPr>
              <w:t>十</w:t>
            </w:r>
            <w:r w:rsidR="00AD1106">
              <w:rPr>
                <w:rFonts w:ascii="標楷體" w:eastAsia="標楷體" w:hAnsi="標楷體" w:hint="eastAsia"/>
                <w:color w:val="000000"/>
              </w:rPr>
              <w:t>一</w:t>
            </w:r>
            <w:r w:rsidRPr="008424A4">
              <w:rPr>
                <w:rFonts w:ascii="標楷體" w:eastAsia="標楷體" w:hAnsi="標楷體" w:hint="eastAsia"/>
                <w:color w:val="000000"/>
              </w:rPr>
              <w:t>款略)</w:t>
            </w:r>
          </w:p>
          <w:p w14:paraId="31AE7315" w14:textId="77777777" w:rsidR="00AD1106" w:rsidRPr="00AD1106" w:rsidRDefault="00AD1106" w:rsidP="00AD1106">
            <w:pPr>
              <w:widowControl/>
              <w:spacing w:line="360" w:lineRule="exact"/>
              <w:ind w:left="355" w:hangingChars="148" w:hanging="355"/>
              <w:jc w:val="both"/>
              <w:rPr>
                <w:rFonts w:ascii="Times New Roman" w:eastAsia="標楷體" w:hAnsi="Times New Roman" w:cs="Times New Roman"/>
              </w:rPr>
            </w:pPr>
            <w:r w:rsidRPr="00AD1106">
              <w:rPr>
                <w:rFonts w:ascii="Times New Roman" w:eastAsia="標楷體" w:hAnsi="Times New Roman" w:cs="Times New Roman" w:hint="eastAsia"/>
              </w:rPr>
              <w:t>二十二</w:t>
            </w:r>
            <w:r w:rsidR="00F937E4">
              <w:rPr>
                <w:rFonts w:ascii="Times New Roman" w:eastAsia="標楷體" w:hAnsi="Times New Roman" w:cs="Times New Roman" w:hint="eastAsia"/>
                <w:color w:val="000000" w:themeColor="text1"/>
              </w:rPr>
              <w:t>、</w:t>
            </w:r>
            <w:r w:rsidRPr="00AD1106">
              <w:rPr>
                <w:rFonts w:ascii="Times New Roman" w:eastAsia="標楷體" w:hAnsi="Times New Roman" w:cs="Times New Roman" w:hint="eastAsia"/>
              </w:rPr>
              <w:t>召開股東會辦理提名董監事</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含獨立董事</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之資訊：</w:t>
            </w:r>
          </w:p>
          <w:p w14:paraId="0C81BB62" w14:textId="77777777" w:rsidR="00AD1106" w:rsidRP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一</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應於停止變更股東名簿記載日前公告受理提名及作業流程；</w:t>
            </w:r>
          </w:p>
          <w:p w14:paraId="67FE4E67" w14:textId="77777777" w:rsidR="00AD1106" w:rsidRP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二</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應於受理期間截止日後二日內公告被提名人名單；</w:t>
            </w:r>
          </w:p>
          <w:p w14:paraId="2212C147" w14:textId="7DCB0BF0" w:rsidR="00AD1106" w:rsidRDefault="00AD1106" w:rsidP="00AD1106">
            <w:pPr>
              <w:widowControl/>
              <w:spacing w:line="360" w:lineRule="exact"/>
              <w:ind w:leftChars="165" w:left="780" w:hangingChars="160" w:hanging="384"/>
              <w:jc w:val="both"/>
              <w:rPr>
                <w:rFonts w:ascii="Times New Roman" w:eastAsia="標楷體" w:hAnsi="Times New Roman" w:cs="Times New Roman"/>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三</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應於董事會決議後二日內、股東常會開會四十日前或股東臨時會開會二十五日前，以上開日期孰前者為準，公告董事會決議結果、候選人名單及被提名人未列入候選人名單之理由；</w:t>
            </w:r>
          </w:p>
          <w:p w14:paraId="7195FDE1" w14:textId="22399F25"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179B1267" w14:textId="331DC998"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18CB8D56" w14:textId="53F9C9CC"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30BF81BC" w14:textId="3DE0CEFB"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74714A2C" w14:textId="393775C4"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1FADBCBE" w14:textId="672E8503"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7EB1A292" w14:textId="7FB6BD1C" w:rsidR="007D6CBE"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2081E7F7" w14:textId="77777777" w:rsidR="007D6CBE" w:rsidRPr="00AD1106" w:rsidRDefault="007D6CBE" w:rsidP="00AD1106">
            <w:pPr>
              <w:widowControl/>
              <w:spacing w:line="360" w:lineRule="exact"/>
              <w:ind w:leftChars="165" w:left="780" w:hangingChars="160" w:hanging="384"/>
              <w:jc w:val="both"/>
              <w:rPr>
                <w:rFonts w:ascii="Times New Roman" w:eastAsia="標楷體" w:hAnsi="Times New Roman" w:cs="Times New Roman"/>
              </w:rPr>
            </w:pPr>
          </w:p>
          <w:p w14:paraId="03E1A1F0" w14:textId="448D7DEF" w:rsidR="000306D2" w:rsidRDefault="00AD1106" w:rsidP="00AD1106">
            <w:pPr>
              <w:widowControl/>
              <w:spacing w:line="360" w:lineRule="exact"/>
              <w:ind w:leftChars="165" w:left="780" w:hangingChars="160" w:hanging="384"/>
              <w:jc w:val="both"/>
              <w:rPr>
                <w:rFonts w:ascii="Times New Roman" w:eastAsia="標楷體" w:hAnsi="Times New Roman" w:cs="Times New Roman"/>
                <w:color w:val="000000" w:themeColor="text1"/>
              </w:rPr>
            </w:pP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四</w:t>
            </w:r>
            <w:r w:rsidRPr="00AD1106">
              <w:rPr>
                <w:rFonts w:ascii="Times New Roman" w:eastAsia="標楷體" w:hAnsi="Times New Roman" w:cs="Times New Roman" w:hint="eastAsia"/>
              </w:rPr>
              <w:t>)</w:t>
            </w:r>
            <w:r w:rsidRPr="00AD1106">
              <w:rPr>
                <w:rFonts w:ascii="Times New Roman" w:eastAsia="標楷體" w:hAnsi="Times New Roman" w:cs="Times New Roman" w:hint="eastAsia"/>
              </w:rPr>
              <w:t>應於選舉後當日公告當選情形。</w:t>
            </w:r>
          </w:p>
          <w:p w14:paraId="548B56B4" w14:textId="358AA971" w:rsidR="00422A41" w:rsidRDefault="00422A41" w:rsidP="00422A41">
            <w:pPr>
              <w:widowControl/>
              <w:spacing w:line="360" w:lineRule="exact"/>
              <w:ind w:leftChars="-18" w:left="-43" w:firstLineChars="18" w:firstLine="43"/>
              <w:jc w:val="both"/>
              <w:rPr>
                <w:rFonts w:ascii="標楷體" w:eastAsia="標楷體" w:hAnsi="標楷體"/>
                <w:color w:val="000000"/>
              </w:rPr>
            </w:pPr>
            <w:r w:rsidRPr="008424A4">
              <w:rPr>
                <w:rFonts w:ascii="標楷體" w:eastAsia="標楷體" w:hAnsi="標楷體" w:hint="eastAsia"/>
                <w:color w:val="000000"/>
              </w:rPr>
              <w:t>(第</w:t>
            </w:r>
            <w:r>
              <w:rPr>
                <w:rFonts w:ascii="標楷體" w:eastAsia="標楷體" w:hAnsi="標楷體" w:hint="eastAsia"/>
                <w:color w:val="000000"/>
              </w:rPr>
              <w:t>二十三</w:t>
            </w:r>
            <w:r w:rsidRPr="008424A4">
              <w:rPr>
                <w:rFonts w:ascii="標楷體" w:eastAsia="標楷體" w:hAnsi="標楷體" w:hint="eastAsia"/>
                <w:color w:val="000000"/>
              </w:rPr>
              <w:t>款至第</w:t>
            </w:r>
            <w:r>
              <w:rPr>
                <w:rFonts w:ascii="標楷體" w:eastAsia="標楷體" w:hAnsi="標楷體" w:hint="eastAsia"/>
                <w:color w:val="000000"/>
              </w:rPr>
              <w:t>三</w:t>
            </w:r>
            <w:r w:rsidRPr="008424A4">
              <w:rPr>
                <w:rFonts w:ascii="標楷體" w:eastAsia="標楷體" w:hAnsi="標楷體" w:hint="eastAsia"/>
                <w:color w:val="000000"/>
              </w:rPr>
              <w:t>十</w:t>
            </w:r>
            <w:r>
              <w:rPr>
                <w:rFonts w:ascii="標楷體" w:eastAsia="標楷體" w:hAnsi="標楷體" w:hint="eastAsia"/>
                <w:color w:val="000000"/>
              </w:rPr>
              <w:t>一</w:t>
            </w:r>
            <w:r w:rsidRPr="008424A4">
              <w:rPr>
                <w:rFonts w:ascii="標楷體" w:eastAsia="標楷體" w:hAnsi="標楷體" w:hint="eastAsia"/>
                <w:color w:val="000000"/>
              </w:rPr>
              <w:t>款略)</w:t>
            </w:r>
          </w:p>
          <w:p w14:paraId="5FB9E924" w14:textId="78C03710" w:rsidR="00EF3215" w:rsidRDefault="00EF3215" w:rsidP="00EF3215">
            <w:pPr>
              <w:ind w:left="1015" w:hangingChars="423" w:hanging="1015"/>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三十二、依證券交易法第四十三條之一第一項取得股份申報辦法規定</w:t>
            </w:r>
            <w:r>
              <w:rPr>
                <w:rFonts w:ascii="Times New Roman" w:eastAsia="標楷體" w:hAnsi="Times New Roman" w:cs="Times New Roman" w:hint="eastAsia"/>
                <w:color w:val="FF0000"/>
                <w:u w:val="single"/>
              </w:rPr>
              <w:t>公告申報之事項</w:t>
            </w:r>
            <w:r w:rsidR="0028570D">
              <w:rPr>
                <w:rFonts w:ascii="Times New Roman" w:eastAsia="標楷體" w:hAnsi="Times New Roman" w:cs="Times New Roman" w:hint="eastAsia"/>
                <w:color w:val="000000" w:themeColor="text1"/>
              </w:rPr>
              <w:t>：</w:t>
            </w:r>
          </w:p>
          <w:p w14:paraId="259808C1" w14:textId="691234D8" w:rsidR="007D6CBE" w:rsidRPr="007D6CBE" w:rsidRDefault="00EF3215" w:rsidP="00EF3215">
            <w:pPr>
              <w:ind w:left="624" w:hangingChars="260" w:hanging="624"/>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（一）初次</w:t>
            </w:r>
            <w:r>
              <w:rPr>
                <w:rFonts w:ascii="Times New Roman" w:eastAsia="標楷體" w:hAnsi="Times New Roman" w:cs="Times New Roman" w:hint="eastAsia"/>
                <w:color w:val="FF0000"/>
                <w:u w:val="single"/>
              </w:rPr>
              <w:t>申報</w:t>
            </w:r>
            <w:r>
              <w:rPr>
                <w:rFonts w:ascii="Times New Roman" w:eastAsia="標楷體" w:hAnsi="Times New Roman" w:cs="Times New Roman" w:hint="eastAsia"/>
                <w:color w:val="000000" w:themeColor="text1"/>
              </w:rPr>
              <w:t>：上櫃公司為取得人時，應於取得日起十日內自行輸入；上櫃公司為被取得股份之公司，且取得人非屬公開發行公司者，取得人應於取得日起八日內將應申報事項送達上櫃公司，上櫃公司並應於送達日起二日內代為輸入。</w:t>
            </w:r>
          </w:p>
          <w:p w14:paraId="08F5BCEB" w14:textId="0CD712FF" w:rsidR="00422A41" w:rsidRDefault="00EF3215" w:rsidP="007D6CBE">
            <w:pPr>
              <w:ind w:left="624" w:hangingChars="260" w:hanging="624"/>
              <w:jc w:val="both"/>
              <w:rPr>
                <w:rFonts w:ascii="Times New Roman" w:eastAsia="標楷體" w:hAnsi="Times New Roman" w:cs="Times New Roman"/>
                <w:color w:val="000000" w:themeColor="text1"/>
                <w:kern w:val="0"/>
              </w:rPr>
            </w:pPr>
            <w:r>
              <w:rPr>
                <w:rFonts w:ascii="Times New Roman" w:eastAsia="標楷體" w:hAnsi="Times New Roman" w:cs="Times New Roman" w:hint="eastAsia"/>
                <w:color w:val="000000" w:themeColor="text1"/>
                <w:kern w:val="0"/>
              </w:rPr>
              <w:t>（二）變動</w:t>
            </w:r>
            <w:r>
              <w:rPr>
                <w:rFonts w:ascii="Times New Roman" w:eastAsia="標楷體" w:hAnsi="Times New Roman" w:cs="Times New Roman" w:hint="eastAsia"/>
                <w:color w:val="FF0000"/>
                <w:kern w:val="0"/>
                <w:u w:val="single"/>
              </w:rPr>
              <w:t>申報</w:t>
            </w:r>
            <w:r>
              <w:rPr>
                <w:rFonts w:ascii="Times New Roman" w:eastAsia="標楷體" w:hAnsi="Times New Roman" w:cs="Times New Roman" w:hint="eastAsia"/>
                <w:color w:val="000000" w:themeColor="text1"/>
                <w:kern w:val="0"/>
              </w:rPr>
              <w:t>：上櫃公司為取得人時，應於事實發生之日起二日內自行輸入；上櫃公司為被取得股份之公司，且取得人非屬公開發行公司者，取得人應於事實發生之日起二日內將應行申報事項送達上櫃公司，上櫃公司並應於送達當日之次一營業日交易時間開始二小時前代為輸入。</w:t>
            </w:r>
          </w:p>
          <w:p w14:paraId="45B87EFA" w14:textId="44865833" w:rsidR="00263919" w:rsidRPr="00D11554" w:rsidRDefault="00AD1106" w:rsidP="00007825">
            <w:pPr>
              <w:widowControl/>
              <w:spacing w:line="360" w:lineRule="exact"/>
              <w:ind w:left="1025" w:hangingChars="427" w:hanging="1025"/>
              <w:jc w:val="both"/>
            </w:pPr>
            <w:r w:rsidRPr="00D34D2F">
              <w:rPr>
                <w:rFonts w:ascii="標楷體" w:eastAsia="標楷體" w:hAnsi="標楷體" w:hint="eastAsia"/>
              </w:rPr>
              <w:t>（以下略）</w:t>
            </w:r>
          </w:p>
        </w:tc>
        <w:tc>
          <w:tcPr>
            <w:tcW w:w="2693" w:type="dxa"/>
            <w:shd w:val="clear" w:color="auto" w:fill="auto"/>
          </w:tcPr>
          <w:p w14:paraId="1D9867FC" w14:textId="5287E463" w:rsidR="0047315F" w:rsidRPr="00C71CBC" w:rsidRDefault="00C71CBC" w:rsidP="00EF3215">
            <w:pPr>
              <w:pStyle w:val="a8"/>
              <w:numPr>
                <w:ilvl w:val="0"/>
                <w:numId w:val="4"/>
              </w:numPr>
              <w:spacing w:line="360" w:lineRule="exact"/>
              <w:ind w:leftChars="0"/>
              <w:jc w:val="both"/>
              <w:rPr>
                <w:rFonts w:ascii="標楷體" w:eastAsia="標楷體" w:hAnsi="標楷體"/>
                <w:noProof/>
              </w:rPr>
            </w:pPr>
            <w:r w:rsidRPr="00C71CBC">
              <w:rPr>
                <w:rFonts w:ascii="標楷體" w:eastAsia="標楷體" w:hAnsi="標楷體" w:hint="eastAsia"/>
              </w:rPr>
              <w:lastRenderedPageBreak/>
              <w:t>配合本</w:t>
            </w:r>
            <w:r w:rsidR="00E85494">
              <w:rPr>
                <w:rFonts w:ascii="標楷體" w:eastAsia="標楷體" w:hAnsi="標楷體" w:hint="eastAsia"/>
              </w:rPr>
              <w:t>中心</w:t>
            </w:r>
            <w:r w:rsidRPr="00C71CBC">
              <w:rPr>
                <w:rFonts w:ascii="標楷體" w:eastAsia="標楷體" w:hAnsi="標楷體" w:hint="eastAsia"/>
              </w:rPr>
              <w:t>「</w:t>
            </w:r>
            <w:r w:rsidR="00E85494" w:rsidRPr="00E85494">
              <w:rPr>
                <w:rFonts w:ascii="標楷體" w:eastAsia="標楷體" w:hAnsi="標楷體" w:hint="eastAsia"/>
              </w:rPr>
              <w:t>上櫃公司董事會設置及行使職權應遵循事項</w:t>
            </w:r>
            <w:r w:rsidRPr="00C71CBC">
              <w:rPr>
                <w:rFonts w:ascii="標楷體" w:eastAsia="標楷體" w:hAnsi="標楷體" w:hint="eastAsia"/>
              </w:rPr>
              <w:t>」第四條推動上</w:t>
            </w:r>
            <w:r w:rsidR="00E85494">
              <w:rPr>
                <w:rFonts w:ascii="標楷體" w:eastAsia="標楷體" w:hAnsi="標楷體" w:hint="eastAsia"/>
              </w:rPr>
              <w:t>櫃</w:t>
            </w:r>
            <w:r w:rsidRPr="00C71CBC">
              <w:rPr>
                <w:rFonts w:ascii="標楷體" w:eastAsia="標楷體" w:hAnsi="標楷體" w:hint="eastAsia"/>
              </w:rPr>
              <w:t>公司董事性別多元化，爰修</w:t>
            </w:r>
            <w:r w:rsidR="00A342E8">
              <w:rPr>
                <w:rFonts w:ascii="標楷體" w:eastAsia="標楷體" w:hAnsi="標楷體" w:hint="eastAsia"/>
              </w:rPr>
              <w:t>正本</w:t>
            </w:r>
            <w:r w:rsidR="00715AC5" w:rsidRPr="00C71CBC">
              <w:rPr>
                <w:rFonts w:ascii="標楷體" w:eastAsia="標楷體" w:hAnsi="標楷體" w:hint="eastAsia"/>
              </w:rPr>
              <w:t>條</w:t>
            </w:r>
            <w:r w:rsidRPr="00C71CBC">
              <w:rPr>
                <w:rFonts w:ascii="標楷體" w:eastAsia="標楷體" w:hAnsi="標楷體" w:hint="eastAsia"/>
              </w:rPr>
              <w:t>第二項第二十二款第三目</w:t>
            </w:r>
            <w:r w:rsidR="00A342E8">
              <w:rPr>
                <w:rFonts w:ascii="標楷體" w:eastAsia="標楷體" w:hAnsi="標楷體" w:hint="eastAsia"/>
              </w:rPr>
              <w:t>規定，</w:t>
            </w:r>
            <w:r w:rsidR="00D13445" w:rsidRPr="00D13445">
              <w:rPr>
                <w:rFonts w:ascii="標楷體" w:eastAsia="標楷體" w:hAnsi="標楷體" w:hint="eastAsia"/>
              </w:rPr>
              <w:t>明訂候選人名單應申報及自願揭露之資訊</w:t>
            </w:r>
            <w:r w:rsidRPr="00C71CBC">
              <w:rPr>
                <w:rFonts w:ascii="標楷體" w:eastAsia="標楷體" w:hAnsi="標楷體" w:hint="eastAsia"/>
              </w:rPr>
              <w:t>。</w:t>
            </w:r>
          </w:p>
          <w:p w14:paraId="683F8DCC" w14:textId="306EE84A" w:rsidR="00EF3215" w:rsidRPr="00EF3215" w:rsidRDefault="00EF3215" w:rsidP="00A342E8">
            <w:pPr>
              <w:pStyle w:val="a8"/>
              <w:numPr>
                <w:ilvl w:val="0"/>
                <w:numId w:val="4"/>
              </w:numPr>
              <w:spacing w:line="360" w:lineRule="exact"/>
              <w:ind w:leftChars="0"/>
              <w:jc w:val="both"/>
              <w:rPr>
                <w:rFonts w:ascii="標楷體" w:eastAsia="標楷體" w:hAnsi="標楷體"/>
              </w:rPr>
            </w:pPr>
            <w:r w:rsidRPr="00C71CBC">
              <w:rPr>
                <w:rFonts w:ascii="標楷體" w:eastAsia="標楷體" w:hAnsi="標楷體" w:cs="Times New Roman" w:hint="eastAsia"/>
              </w:rPr>
              <w:t>配合「證券交易法第四十三條之一第一項取得股份申報辦法」修正條文第六條及第七條，</w:t>
            </w:r>
            <w:r w:rsidRPr="00C71CBC">
              <w:rPr>
                <w:rFonts w:ascii="標楷體" w:eastAsia="標楷體" w:hAnsi="標楷體" w:hint="eastAsia"/>
              </w:rPr>
              <w:t>取得人除維持現行公告方式外，其申報書件改經由公開資訊觀測站開設方式上傳檔案，爰酌修</w:t>
            </w:r>
            <w:r w:rsidR="00A342E8">
              <w:rPr>
                <w:rFonts w:ascii="標楷體" w:eastAsia="標楷體" w:hAnsi="標楷體" w:hint="eastAsia"/>
              </w:rPr>
              <w:t>本</w:t>
            </w:r>
            <w:r w:rsidRPr="00C71CBC">
              <w:rPr>
                <w:rFonts w:ascii="標楷體" w:eastAsia="標楷體" w:hAnsi="標楷體" w:hint="eastAsia"/>
              </w:rPr>
              <w:t>條第二項第</w:t>
            </w:r>
            <w:r w:rsidRPr="00EF3215">
              <w:rPr>
                <w:rFonts w:ascii="標楷體" w:eastAsia="標楷體" w:hAnsi="標楷體" w:hint="eastAsia"/>
              </w:rPr>
              <w:t>三十二款文字。</w:t>
            </w:r>
            <w:r w:rsidR="00A342E8">
              <w:rPr>
                <w:rFonts w:ascii="標楷體" w:eastAsia="標楷體" w:hAnsi="標楷體" w:hint="eastAsia"/>
              </w:rPr>
              <w:t>另</w:t>
            </w:r>
            <w:r w:rsidRPr="00EF3215">
              <w:rPr>
                <w:rFonts w:ascii="標楷體" w:eastAsia="標楷體" w:hAnsi="標楷體" w:cs="Times New Roman" w:hint="eastAsia"/>
                <w:kern w:val="0"/>
              </w:rPr>
              <w:t>配合「證券交易法第四十三條之一第一項取得股份申報辦法」新增第八條，爰配合新增</w:t>
            </w:r>
            <w:r w:rsidR="00A342E8">
              <w:rPr>
                <w:rFonts w:ascii="標楷體" w:eastAsia="標楷體" w:hAnsi="標楷體" w:cs="Times New Roman" w:hint="eastAsia"/>
                <w:kern w:val="0"/>
              </w:rPr>
              <w:t>本</w:t>
            </w:r>
            <w:r w:rsidRPr="00EF3215">
              <w:rPr>
                <w:rFonts w:ascii="標楷體" w:eastAsia="標楷體" w:hAnsi="標楷體" w:cs="Times New Roman" w:hint="eastAsia"/>
                <w:kern w:val="0"/>
              </w:rPr>
              <w:t>條第二項第三十二款第三</w:t>
            </w:r>
            <w:r w:rsidR="00715AC5">
              <w:rPr>
                <w:rFonts w:ascii="標楷體" w:eastAsia="標楷體" w:hAnsi="標楷體" w:cs="Times New Roman" w:hint="eastAsia"/>
                <w:kern w:val="0"/>
              </w:rPr>
              <w:t>目</w:t>
            </w:r>
            <w:r w:rsidRPr="00EF3215">
              <w:rPr>
                <w:rFonts w:ascii="標楷體" w:eastAsia="標楷體" w:hAnsi="標楷體" w:cs="Times New Roman" w:hint="eastAsia"/>
                <w:kern w:val="0"/>
              </w:rPr>
              <w:t>。</w:t>
            </w:r>
          </w:p>
        </w:tc>
      </w:tr>
      <w:tr w:rsidR="00AC1E36" w14:paraId="17B2D955" w14:textId="77777777" w:rsidTr="00661016">
        <w:tc>
          <w:tcPr>
            <w:tcW w:w="2974" w:type="dxa"/>
          </w:tcPr>
          <w:p w14:paraId="1EF24AAD" w14:textId="77777777" w:rsidR="00AC1E36" w:rsidRPr="004566C7" w:rsidRDefault="00AC1E36" w:rsidP="00AC1E36">
            <w:pPr>
              <w:pStyle w:val="HTML"/>
              <w:spacing w:line="400" w:lineRule="exact"/>
              <w:jc w:val="both"/>
              <w:rPr>
                <w:rFonts w:ascii="標楷體" w:eastAsia="標楷體" w:hAnsi="標楷體"/>
              </w:rPr>
            </w:pPr>
            <w:r w:rsidRPr="004566C7">
              <w:rPr>
                <w:rFonts w:ascii="標楷體" w:eastAsia="標楷體" w:hAnsi="標楷體"/>
              </w:rPr>
              <w:lastRenderedPageBreak/>
              <w:t>第</w:t>
            </w:r>
            <w:r w:rsidRPr="004566C7">
              <w:rPr>
                <w:rFonts w:ascii="標楷體" w:eastAsia="標楷體" w:hAnsi="標楷體" w:hint="eastAsia"/>
              </w:rPr>
              <w:t>六</w:t>
            </w:r>
            <w:r w:rsidRPr="004566C7">
              <w:rPr>
                <w:rFonts w:ascii="標楷體" w:eastAsia="標楷體" w:hAnsi="標楷體"/>
              </w:rPr>
              <w:t>條</w:t>
            </w:r>
          </w:p>
          <w:p w14:paraId="16F059A1" w14:textId="07B3AC03" w:rsidR="00AC1E36" w:rsidRPr="004566C7" w:rsidRDefault="00AC1E36" w:rsidP="00007825">
            <w:pPr>
              <w:spacing w:line="400" w:lineRule="exact"/>
              <w:ind w:firstLineChars="200" w:firstLine="480"/>
              <w:jc w:val="both"/>
              <w:rPr>
                <w:rFonts w:ascii="標楷體" w:eastAsia="標楷體" w:hAnsi="標楷體"/>
                <w:szCs w:val="28"/>
              </w:rPr>
            </w:pPr>
            <w:r w:rsidRPr="00AC1E36">
              <w:rPr>
                <w:rFonts w:ascii="標楷體" w:eastAsia="標楷體" w:hAnsi="標楷體" w:hint="eastAsia"/>
              </w:rPr>
              <w:t>有價證券上櫃公司違反本作業辦法或申報之資訊有錯誤者，本中心得</w:t>
            </w:r>
            <w:r w:rsidRPr="00AC1E36">
              <w:rPr>
                <w:rFonts w:ascii="標楷體" w:eastAsia="標楷體" w:hAnsi="標楷體" w:hint="eastAsia"/>
                <w:color w:val="FF0000"/>
                <w:u w:val="single"/>
              </w:rPr>
              <w:t>函請改善或</w:t>
            </w:r>
            <w:r w:rsidRPr="00AC1E36">
              <w:rPr>
                <w:rFonts w:ascii="標楷體" w:eastAsia="標楷體" w:hAnsi="標楷體" w:hint="eastAsia"/>
              </w:rPr>
              <w:t>處新臺幣一萬元違約金。但其錯漏如係由主管機關、本中心或投資人發現經查屬實者，得處新臺幣三萬元違約金</w:t>
            </w:r>
            <w:r w:rsidRPr="004566C7">
              <w:rPr>
                <w:rFonts w:ascii="標楷體" w:eastAsia="標楷體" w:hAnsi="標楷體"/>
              </w:rPr>
              <w:t>。</w:t>
            </w:r>
          </w:p>
          <w:p w14:paraId="336EB9A1" w14:textId="1DAB2F2F" w:rsidR="00AC1E36" w:rsidRPr="00D11554" w:rsidRDefault="00AC1E36" w:rsidP="00AC1E36">
            <w:pPr>
              <w:spacing w:line="360" w:lineRule="exact"/>
              <w:jc w:val="both"/>
              <w:rPr>
                <w:rFonts w:ascii="標楷體" w:eastAsia="標楷體" w:hAnsi="標楷體" w:cs="細明體"/>
                <w:color w:val="000000"/>
                <w:kern w:val="0"/>
                <w:szCs w:val="24"/>
              </w:rPr>
            </w:pPr>
            <w:r w:rsidRPr="004566C7">
              <w:rPr>
                <w:rFonts w:ascii="標楷體" w:eastAsia="標楷體" w:hAnsi="標楷體" w:hint="eastAsia"/>
                <w:szCs w:val="28"/>
              </w:rPr>
              <w:t>(以下略)</w:t>
            </w:r>
          </w:p>
        </w:tc>
        <w:tc>
          <w:tcPr>
            <w:tcW w:w="2975" w:type="dxa"/>
          </w:tcPr>
          <w:p w14:paraId="4B3DF2AB" w14:textId="77777777" w:rsidR="00AC1E36" w:rsidRPr="004566C7" w:rsidRDefault="00AC1E36" w:rsidP="00AC1E36">
            <w:pPr>
              <w:pStyle w:val="HTML"/>
              <w:spacing w:line="400" w:lineRule="exact"/>
              <w:jc w:val="both"/>
              <w:rPr>
                <w:rFonts w:ascii="標楷體" w:eastAsia="標楷體" w:hAnsi="標楷體"/>
              </w:rPr>
            </w:pPr>
            <w:r w:rsidRPr="004566C7">
              <w:rPr>
                <w:rFonts w:ascii="標楷體" w:eastAsia="標楷體" w:hAnsi="標楷體"/>
              </w:rPr>
              <w:t>第</w:t>
            </w:r>
            <w:r w:rsidRPr="004566C7">
              <w:rPr>
                <w:rFonts w:ascii="標楷體" w:eastAsia="標楷體" w:hAnsi="標楷體" w:hint="eastAsia"/>
              </w:rPr>
              <w:t>六</w:t>
            </w:r>
            <w:r w:rsidRPr="004566C7">
              <w:rPr>
                <w:rFonts w:ascii="標楷體" w:eastAsia="標楷體" w:hAnsi="標楷體"/>
              </w:rPr>
              <w:t>條</w:t>
            </w:r>
          </w:p>
          <w:p w14:paraId="0BD90142" w14:textId="1089DF81" w:rsidR="00AC1E36" w:rsidRPr="004566C7" w:rsidRDefault="00AC1E36" w:rsidP="00816DC4">
            <w:pPr>
              <w:spacing w:line="400" w:lineRule="exact"/>
              <w:ind w:firstLineChars="200" w:firstLine="480"/>
              <w:jc w:val="both"/>
              <w:rPr>
                <w:rFonts w:ascii="標楷體" w:eastAsia="標楷體" w:hAnsi="標楷體"/>
                <w:szCs w:val="28"/>
              </w:rPr>
            </w:pPr>
            <w:r w:rsidRPr="00AC1E36">
              <w:rPr>
                <w:rFonts w:ascii="標楷體" w:eastAsia="標楷體" w:hAnsi="標楷體" w:hint="eastAsia"/>
              </w:rPr>
              <w:t>有價證券上櫃公司違反本作業辦法或申報之資訊有錯誤者，本中心得處新臺幣一萬元違約金。但其錯漏如係由主管機關、本中心或投資人發現經查屬實者，得處新臺幣三萬元違約金</w:t>
            </w:r>
            <w:r w:rsidRPr="004566C7">
              <w:rPr>
                <w:rFonts w:ascii="標楷體" w:eastAsia="標楷體" w:hAnsi="標楷體"/>
              </w:rPr>
              <w:t>。</w:t>
            </w:r>
          </w:p>
          <w:p w14:paraId="39D415A1" w14:textId="1F11F4FB" w:rsidR="00AC1E36" w:rsidRDefault="00AC1E36" w:rsidP="00AC1E36">
            <w:pPr>
              <w:widowControl/>
              <w:spacing w:line="360" w:lineRule="exact"/>
              <w:jc w:val="both"/>
              <w:rPr>
                <w:rFonts w:ascii="標楷體" w:eastAsia="標楷體" w:hAnsi="標楷體" w:cs="新細明體"/>
                <w:color w:val="000000"/>
                <w:kern w:val="0"/>
                <w:szCs w:val="24"/>
              </w:rPr>
            </w:pPr>
            <w:r w:rsidRPr="004566C7">
              <w:rPr>
                <w:rFonts w:ascii="標楷體" w:eastAsia="標楷體" w:hAnsi="標楷體" w:hint="eastAsia"/>
                <w:szCs w:val="28"/>
              </w:rPr>
              <w:t>(以下略)</w:t>
            </w:r>
          </w:p>
        </w:tc>
        <w:tc>
          <w:tcPr>
            <w:tcW w:w="2693" w:type="dxa"/>
            <w:shd w:val="clear" w:color="auto" w:fill="auto"/>
          </w:tcPr>
          <w:p w14:paraId="184E878D" w14:textId="36589C7B" w:rsidR="00AC1E36" w:rsidRPr="00AB783F" w:rsidRDefault="00E87032" w:rsidP="00AC1E36">
            <w:pPr>
              <w:tabs>
                <w:tab w:val="left" w:pos="456"/>
                <w:tab w:val="left" w:pos="597"/>
              </w:tabs>
              <w:spacing w:line="360" w:lineRule="exact"/>
              <w:jc w:val="both"/>
            </w:pPr>
            <w:r>
              <w:rPr>
                <w:rFonts w:ascii="Times New Roman" w:eastAsia="標楷體" w:hAnsi="Times New Roman" w:hint="eastAsia"/>
              </w:rPr>
              <w:t>配合實務作業方式，爰酌修本條第一項文字以資明確</w:t>
            </w:r>
            <w:r w:rsidR="00AC1E36" w:rsidRPr="00AC1E36">
              <w:rPr>
                <w:rFonts w:ascii="Times New Roman" w:eastAsia="標楷體" w:hAnsi="Times New Roman" w:hint="eastAsia"/>
              </w:rPr>
              <w:t>。</w:t>
            </w:r>
          </w:p>
        </w:tc>
      </w:tr>
    </w:tbl>
    <w:p w14:paraId="690AB412" w14:textId="77777777" w:rsidR="0016465B" w:rsidRPr="009E4644" w:rsidRDefault="0016465B"/>
    <w:sectPr w:rsidR="0016465B" w:rsidRPr="009E4644" w:rsidSect="00816DC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509B" w14:textId="77777777" w:rsidR="001B206D" w:rsidRDefault="001B206D" w:rsidP="00EE6AA4">
      <w:r>
        <w:separator/>
      </w:r>
    </w:p>
  </w:endnote>
  <w:endnote w:type="continuationSeparator" w:id="0">
    <w:p w14:paraId="45E9F082" w14:textId="77777777" w:rsidR="001B206D" w:rsidRDefault="001B206D" w:rsidP="00EE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0262"/>
      <w:docPartObj>
        <w:docPartGallery w:val="Page Numbers (Bottom of Page)"/>
        <w:docPartUnique/>
      </w:docPartObj>
    </w:sdtPr>
    <w:sdtContent>
      <w:p w14:paraId="4A5AAC16" w14:textId="0438E524" w:rsidR="007408A0" w:rsidRDefault="007408A0">
        <w:pPr>
          <w:pStyle w:val="a6"/>
          <w:jc w:val="center"/>
        </w:pPr>
        <w:r>
          <w:fldChar w:fldCharType="begin"/>
        </w:r>
        <w:r>
          <w:instrText>PAGE   \* MERGEFORMAT</w:instrText>
        </w:r>
        <w:r>
          <w:fldChar w:fldCharType="separate"/>
        </w:r>
        <w:r>
          <w:rPr>
            <w:lang w:val="zh-TW"/>
          </w:rPr>
          <w:t>2</w:t>
        </w:r>
        <w:r>
          <w:fldChar w:fldCharType="end"/>
        </w:r>
      </w:p>
    </w:sdtContent>
  </w:sdt>
  <w:p w14:paraId="10F74746" w14:textId="77777777" w:rsidR="007408A0" w:rsidRDefault="007408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1CCF" w14:textId="77777777" w:rsidR="001B206D" w:rsidRDefault="001B206D" w:rsidP="00EE6AA4">
      <w:r>
        <w:separator/>
      </w:r>
    </w:p>
  </w:footnote>
  <w:footnote w:type="continuationSeparator" w:id="0">
    <w:p w14:paraId="0FFEDD4C" w14:textId="77777777" w:rsidR="001B206D" w:rsidRDefault="001B206D" w:rsidP="00EE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043BA"/>
    <w:multiLevelType w:val="hybridMultilevel"/>
    <w:tmpl w:val="7862C712"/>
    <w:lvl w:ilvl="0" w:tplc="8FDC6B26">
      <w:start w:val="1"/>
      <w:numFmt w:val="taiwaneseCountingThousand"/>
      <w:lvlText w:val="%1、"/>
      <w:lvlJc w:val="left"/>
      <w:pPr>
        <w:ind w:left="504" w:hanging="504"/>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A05C40"/>
    <w:multiLevelType w:val="hybridMultilevel"/>
    <w:tmpl w:val="1E50600C"/>
    <w:lvl w:ilvl="0" w:tplc="397E028A">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79BE5314"/>
    <w:multiLevelType w:val="hybridMultilevel"/>
    <w:tmpl w:val="BEF43368"/>
    <w:lvl w:ilvl="0" w:tplc="10D2A5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ED046B"/>
    <w:multiLevelType w:val="hybridMultilevel"/>
    <w:tmpl w:val="4BF8CA9E"/>
    <w:lvl w:ilvl="0" w:tplc="EC5E8178">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0956553">
    <w:abstractNumId w:val="3"/>
  </w:num>
  <w:num w:numId="2" w16cid:durableId="1763258849">
    <w:abstractNumId w:val="1"/>
  </w:num>
  <w:num w:numId="3" w16cid:durableId="1845316280">
    <w:abstractNumId w:val="0"/>
  </w:num>
  <w:num w:numId="4" w16cid:durableId="1264845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44"/>
    <w:rsid w:val="000027FD"/>
    <w:rsid w:val="00007825"/>
    <w:rsid w:val="00014966"/>
    <w:rsid w:val="000306D2"/>
    <w:rsid w:val="000518EF"/>
    <w:rsid w:val="00093A3F"/>
    <w:rsid w:val="000A3A5C"/>
    <w:rsid w:val="000A3FA2"/>
    <w:rsid w:val="00121F44"/>
    <w:rsid w:val="001335F3"/>
    <w:rsid w:val="0015303A"/>
    <w:rsid w:val="0016095A"/>
    <w:rsid w:val="0016465B"/>
    <w:rsid w:val="001828F6"/>
    <w:rsid w:val="001B206D"/>
    <w:rsid w:val="001C6584"/>
    <w:rsid w:val="001C78A7"/>
    <w:rsid w:val="002310D0"/>
    <w:rsid w:val="00232147"/>
    <w:rsid w:val="0025056D"/>
    <w:rsid w:val="00263919"/>
    <w:rsid w:val="002740A2"/>
    <w:rsid w:val="00275FEC"/>
    <w:rsid w:val="0028570D"/>
    <w:rsid w:val="00286EB2"/>
    <w:rsid w:val="002C2643"/>
    <w:rsid w:val="003064CF"/>
    <w:rsid w:val="0033298E"/>
    <w:rsid w:val="00352E84"/>
    <w:rsid w:val="00381CCB"/>
    <w:rsid w:val="00387B36"/>
    <w:rsid w:val="00404946"/>
    <w:rsid w:val="00407BE5"/>
    <w:rsid w:val="00416031"/>
    <w:rsid w:val="00422A41"/>
    <w:rsid w:val="00436D59"/>
    <w:rsid w:val="00467AF3"/>
    <w:rsid w:val="0047315F"/>
    <w:rsid w:val="00476275"/>
    <w:rsid w:val="00482EC8"/>
    <w:rsid w:val="004A6C30"/>
    <w:rsid w:val="005021BB"/>
    <w:rsid w:val="00523C3A"/>
    <w:rsid w:val="0055592C"/>
    <w:rsid w:val="00570111"/>
    <w:rsid w:val="005A75B7"/>
    <w:rsid w:val="005D3049"/>
    <w:rsid w:val="005F4D90"/>
    <w:rsid w:val="00610AFE"/>
    <w:rsid w:val="00661016"/>
    <w:rsid w:val="006726DA"/>
    <w:rsid w:val="006878C4"/>
    <w:rsid w:val="00690B13"/>
    <w:rsid w:val="006A2132"/>
    <w:rsid w:val="006A7D58"/>
    <w:rsid w:val="006B0F08"/>
    <w:rsid w:val="006B1A1D"/>
    <w:rsid w:val="006B6267"/>
    <w:rsid w:val="006D1811"/>
    <w:rsid w:val="00704858"/>
    <w:rsid w:val="00715AC5"/>
    <w:rsid w:val="00731E63"/>
    <w:rsid w:val="00732442"/>
    <w:rsid w:val="007408A0"/>
    <w:rsid w:val="00742B64"/>
    <w:rsid w:val="007666A9"/>
    <w:rsid w:val="007923F0"/>
    <w:rsid w:val="007A691D"/>
    <w:rsid w:val="007B103C"/>
    <w:rsid w:val="007D4C44"/>
    <w:rsid w:val="007D6CBE"/>
    <w:rsid w:val="00816DC4"/>
    <w:rsid w:val="00820AF5"/>
    <w:rsid w:val="0084029E"/>
    <w:rsid w:val="00846D1E"/>
    <w:rsid w:val="00863D2B"/>
    <w:rsid w:val="0087517F"/>
    <w:rsid w:val="00887104"/>
    <w:rsid w:val="008920F8"/>
    <w:rsid w:val="008B3474"/>
    <w:rsid w:val="008C0106"/>
    <w:rsid w:val="0090735E"/>
    <w:rsid w:val="00932599"/>
    <w:rsid w:val="00960720"/>
    <w:rsid w:val="009641E7"/>
    <w:rsid w:val="00990026"/>
    <w:rsid w:val="009B523C"/>
    <w:rsid w:val="009E4644"/>
    <w:rsid w:val="009F199A"/>
    <w:rsid w:val="00A14FCE"/>
    <w:rsid w:val="00A17B8D"/>
    <w:rsid w:val="00A32EF1"/>
    <w:rsid w:val="00A342E8"/>
    <w:rsid w:val="00A411F7"/>
    <w:rsid w:val="00A41D40"/>
    <w:rsid w:val="00A4371C"/>
    <w:rsid w:val="00A62178"/>
    <w:rsid w:val="00A64601"/>
    <w:rsid w:val="00A85CC7"/>
    <w:rsid w:val="00AB0460"/>
    <w:rsid w:val="00AB783F"/>
    <w:rsid w:val="00AC0419"/>
    <w:rsid w:val="00AC1E36"/>
    <w:rsid w:val="00AD1106"/>
    <w:rsid w:val="00AE18A7"/>
    <w:rsid w:val="00AF22B6"/>
    <w:rsid w:val="00B019E8"/>
    <w:rsid w:val="00B1520F"/>
    <w:rsid w:val="00B15D20"/>
    <w:rsid w:val="00B2787F"/>
    <w:rsid w:val="00B554F3"/>
    <w:rsid w:val="00B57E2F"/>
    <w:rsid w:val="00B85DFA"/>
    <w:rsid w:val="00B86CAC"/>
    <w:rsid w:val="00BA2D04"/>
    <w:rsid w:val="00BE23C5"/>
    <w:rsid w:val="00BE3462"/>
    <w:rsid w:val="00BE4D60"/>
    <w:rsid w:val="00C666E2"/>
    <w:rsid w:val="00C71CBC"/>
    <w:rsid w:val="00C92B41"/>
    <w:rsid w:val="00CB4546"/>
    <w:rsid w:val="00CB6BC4"/>
    <w:rsid w:val="00CC3A6C"/>
    <w:rsid w:val="00CE14E9"/>
    <w:rsid w:val="00CE194B"/>
    <w:rsid w:val="00CE2033"/>
    <w:rsid w:val="00CE3877"/>
    <w:rsid w:val="00CF3B79"/>
    <w:rsid w:val="00D025A7"/>
    <w:rsid w:val="00D11554"/>
    <w:rsid w:val="00D1188F"/>
    <w:rsid w:val="00D13445"/>
    <w:rsid w:val="00D32626"/>
    <w:rsid w:val="00D4032D"/>
    <w:rsid w:val="00D42730"/>
    <w:rsid w:val="00D550A8"/>
    <w:rsid w:val="00D557DA"/>
    <w:rsid w:val="00D83CD6"/>
    <w:rsid w:val="00D87FAD"/>
    <w:rsid w:val="00E0349A"/>
    <w:rsid w:val="00E85494"/>
    <w:rsid w:val="00E855F6"/>
    <w:rsid w:val="00E87032"/>
    <w:rsid w:val="00EE24C7"/>
    <w:rsid w:val="00EE2812"/>
    <w:rsid w:val="00EE6AA4"/>
    <w:rsid w:val="00EF3215"/>
    <w:rsid w:val="00F151F9"/>
    <w:rsid w:val="00F343B2"/>
    <w:rsid w:val="00F35741"/>
    <w:rsid w:val="00F440D8"/>
    <w:rsid w:val="00F46014"/>
    <w:rsid w:val="00F618C9"/>
    <w:rsid w:val="00F90F91"/>
    <w:rsid w:val="00F937E4"/>
    <w:rsid w:val="00FB6C41"/>
    <w:rsid w:val="00FC5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BD76"/>
  <w15:docId w15:val="{149D1461-9265-48A3-9747-DF620F47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6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6AA4"/>
    <w:pPr>
      <w:tabs>
        <w:tab w:val="center" w:pos="4153"/>
        <w:tab w:val="right" w:pos="8306"/>
      </w:tabs>
      <w:snapToGrid w:val="0"/>
    </w:pPr>
    <w:rPr>
      <w:sz w:val="20"/>
      <w:szCs w:val="20"/>
    </w:rPr>
  </w:style>
  <w:style w:type="character" w:customStyle="1" w:styleId="a5">
    <w:name w:val="頁首 字元"/>
    <w:basedOn w:val="a0"/>
    <w:link w:val="a4"/>
    <w:uiPriority w:val="99"/>
    <w:rsid w:val="00EE6AA4"/>
    <w:rPr>
      <w:sz w:val="20"/>
      <w:szCs w:val="20"/>
    </w:rPr>
  </w:style>
  <w:style w:type="paragraph" w:styleId="a6">
    <w:name w:val="footer"/>
    <w:basedOn w:val="a"/>
    <w:link w:val="a7"/>
    <w:uiPriority w:val="99"/>
    <w:unhideWhenUsed/>
    <w:rsid w:val="00EE6AA4"/>
    <w:pPr>
      <w:tabs>
        <w:tab w:val="center" w:pos="4153"/>
        <w:tab w:val="right" w:pos="8306"/>
      </w:tabs>
      <w:snapToGrid w:val="0"/>
    </w:pPr>
    <w:rPr>
      <w:sz w:val="20"/>
      <w:szCs w:val="20"/>
    </w:rPr>
  </w:style>
  <w:style w:type="character" w:customStyle="1" w:styleId="a7">
    <w:name w:val="頁尾 字元"/>
    <w:basedOn w:val="a0"/>
    <w:link w:val="a6"/>
    <w:uiPriority w:val="99"/>
    <w:rsid w:val="00EE6AA4"/>
    <w:rPr>
      <w:sz w:val="20"/>
      <w:szCs w:val="20"/>
    </w:rPr>
  </w:style>
  <w:style w:type="paragraph" w:styleId="a8">
    <w:name w:val="List Paragraph"/>
    <w:basedOn w:val="a"/>
    <w:qFormat/>
    <w:rsid w:val="0047315F"/>
    <w:pPr>
      <w:ind w:leftChars="200" w:left="480"/>
    </w:pPr>
  </w:style>
  <w:style w:type="paragraph" w:styleId="a9">
    <w:name w:val="Balloon Text"/>
    <w:basedOn w:val="a"/>
    <w:link w:val="aa"/>
    <w:uiPriority w:val="99"/>
    <w:semiHidden/>
    <w:unhideWhenUsed/>
    <w:rsid w:val="009F19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199A"/>
    <w:rPr>
      <w:rFonts w:asciiTheme="majorHAnsi" w:eastAsiaTheme="majorEastAsia" w:hAnsiTheme="majorHAnsi" w:cstheme="majorBidi"/>
      <w:sz w:val="18"/>
      <w:szCs w:val="18"/>
    </w:rPr>
  </w:style>
  <w:style w:type="paragraph" w:styleId="HTML">
    <w:name w:val="HTML Preformatted"/>
    <w:basedOn w:val="a"/>
    <w:link w:val="HTML0"/>
    <w:unhideWhenUsed/>
    <w:rsid w:val="00D11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1554"/>
    <w:rPr>
      <w:rFonts w:ascii="細明體" w:eastAsia="細明體" w:hAnsi="細明體" w:cs="細明體"/>
      <w:kern w:val="0"/>
      <w:szCs w:val="24"/>
    </w:rPr>
  </w:style>
  <w:style w:type="paragraph" w:styleId="ab">
    <w:name w:val="Revision"/>
    <w:hidden/>
    <w:uiPriority w:val="99"/>
    <w:semiHidden/>
    <w:rsid w:val="0074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6023">
      <w:bodyDiv w:val="1"/>
      <w:marLeft w:val="0"/>
      <w:marRight w:val="0"/>
      <w:marTop w:val="0"/>
      <w:marBottom w:val="0"/>
      <w:divBdr>
        <w:top w:val="none" w:sz="0" w:space="0" w:color="auto"/>
        <w:left w:val="none" w:sz="0" w:space="0" w:color="auto"/>
        <w:bottom w:val="none" w:sz="0" w:space="0" w:color="auto"/>
        <w:right w:val="none" w:sz="0" w:space="0" w:color="auto"/>
      </w:divBdr>
    </w:div>
    <w:div w:id="810095243">
      <w:bodyDiv w:val="1"/>
      <w:marLeft w:val="0"/>
      <w:marRight w:val="0"/>
      <w:marTop w:val="0"/>
      <w:marBottom w:val="0"/>
      <w:divBdr>
        <w:top w:val="none" w:sz="0" w:space="0" w:color="auto"/>
        <w:left w:val="none" w:sz="0" w:space="0" w:color="auto"/>
        <w:bottom w:val="none" w:sz="0" w:space="0" w:color="auto"/>
        <w:right w:val="none" w:sz="0" w:space="0" w:color="auto"/>
      </w:divBdr>
    </w:div>
    <w:div w:id="880358314">
      <w:bodyDiv w:val="1"/>
      <w:marLeft w:val="0"/>
      <w:marRight w:val="0"/>
      <w:marTop w:val="0"/>
      <w:marBottom w:val="0"/>
      <w:divBdr>
        <w:top w:val="none" w:sz="0" w:space="0" w:color="auto"/>
        <w:left w:val="none" w:sz="0" w:space="0" w:color="auto"/>
        <w:bottom w:val="none" w:sz="0" w:space="0" w:color="auto"/>
        <w:right w:val="none" w:sz="0" w:space="0" w:color="auto"/>
      </w:divBdr>
    </w:div>
    <w:div w:id="1146899453">
      <w:bodyDiv w:val="1"/>
      <w:marLeft w:val="0"/>
      <w:marRight w:val="0"/>
      <w:marTop w:val="0"/>
      <w:marBottom w:val="0"/>
      <w:divBdr>
        <w:top w:val="none" w:sz="0" w:space="0" w:color="auto"/>
        <w:left w:val="none" w:sz="0" w:space="0" w:color="auto"/>
        <w:bottom w:val="none" w:sz="0" w:space="0" w:color="auto"/>
        <w:right w:val="none" w:sz="0" w:space="0" w:color="auto"/>
      </w:divBdr>
    </w:div>
    <w:div w:id="1472359327">
      <w:bodyDiv w:val="1"/>
      <w:marLeft w:val="0"/>
      <w:marRight w:val="0"/>
      <w:marTop w:val="0"/>
      <w:marBottom w:val="0"/>
      <w:divBdr>
        <w:top w:val="none" w:sz="0" w:space="0" w:color="auto"/>
        <w:left w:val="none" w:sz="0" w:space="0" w:color="auto"/>
        <w:bottom w:val="none" w:sz="0" w:space="0" w:color="auto"/>
        <w:right w:val="none" w:sz="0" w:space="0" w:color="auto"/>
      </w:divBdr>
    </w:div>
    <w:div w:id="1582569522">
      <w:bodyDiv w:val="1"/>
      <w:marLeft w:val="0"/>
      <w:marRight w:val="0"/>
      <w:marTop w:val="0"/>
      <w:marBottom w:val="0"/>
      <w:divBdr>
        <w:top w:val="none" w:sz="0" w:space="0" w:color="auto"/>
        <w:left w:val="none" w:sz="0" w:space="0" w:color="auto"/>
        <w:bottom w:val="none" w:sz="0" w:space="0" w:color="auto"/>
        <w:right w:val="none" w:sz="0" w:space="0" w:color="auto"/>
      </w:divBdr>
    </w:div>
    <w:div w:id="1795437823">
      <w:bodyDiv w:val="1"/>
      <w:marLeft w:val="0"/>
      <w:marRight w:val="0"/>
      <w:marTop w:val="0"/>
      <w:marBottom w:val="0"/>
      <w:divBdr>
        <w:top w:val="none" w:sz="0" w:space="0" w:color="auto"/>
        <w:left w:val="none" w:sz="0" w:space="0" w:color="auto"/>
        <w:bottom w:val="none" w:sz="0" w:space="0" w:color="auto"/>
        <w:right w:val="none" w:sz="0" w:space="0" w:color="auto"/>
      </w:divBdr>
    </w:div>
    <w:div w:id="1859464978">
      <w:bodyDiv w:val="1"/>
      <w:marLeft w:val="0"/>
      <w:marRight w:val="0"/>
      <w:marTop w:val="0"/>
      <w:marBottom w:val="0"/>
      <w:divBdr>
        <w:top w:val="none" w:sz="0" w:space="0" w:color="auto"/>
        <w:left w:val="none" w:sz="0" w:space="0" w:color="auto"/>
        <w:bottom w:val="none" w:sz="0" w:space="0" w:color="auto"/>
        <w:right w:val="none" w:sz="0" w:space="0" w:color="auto"/>
      </w:divBdr>
    </w:div>
    <w:div w:id="1913616891">
      <w:bodyDiv w:val="1"/>
      <w:marLeft w:val="0"/>
      <w:marRight w:val="0"/>
      <w:marTop w:val="0"/>
      <w:marBottom w:val="0"/>
      <w:divBdr>
        <w:top w:val="none" w:sz="0" w:space="0" w:color="auto"/>
        <w:left w:val="none" w:sz="0" w:space="0" w:color="auto"/>
        <w:bottom w:val="none" w:sz="0" w:space="0" w:color="auto"/>
        <w:right w:val="none" w:sz="0" w:space="0" w:color="auto"/>
      </w:divBdr>
    </w:div>
    <w:div w:id="191485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07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42CE1-73FA-42DC-B1CE-9AE08300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277</Words>
  <Characters>1581</Characters>
  <Application>Microsoft Office Word</Application>
  <DocSecurity>0</DocSecurity>
  <Lines>13</Lines>
  <Paragraphs>3</Paragraphs>
  <ScaleCrop>false</ScaleCrop>
  <Company>TWSE 臺灣證券交易所</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羅志強</dc:creator>
  <cp:keywords/>
  <dc:description/>
  <cp:lastModifiedBy>賴婉芝</cp:lastModifiedBy>
  <cp:revision>41</cp:revision>
  <cp:lastPrinted>2024-03-13T03:29:00Z</cp:lastPrinted>
  <dcterms:created xsi:type="dcterms:W3CDTF">2022-07-28T06:26:00Z</dcterms:created>
  <dcterms:modified xsi:type="dcterms:W3CDTF">2024-04-11T03:13:00Z</dcterms:modified>
</cp:coreProperties>
</file>