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298A" w14:textId="77777777" w:rsidR="00245C6D" w:rsidRPr="00243FD5" w:rsidRDefault="00B26C98" w:rsidP="00245C6D">
      <w:pPr>
        <w:spacing w:after="0" w:line="440" w:lineRule="exact"/>
        <w:jc w:val="center"/>
        <w:rPr>
          <w:rFonts w:ascii="標楷體" w:eastAsia="標楷體" w:hAnsi="標楷體"/>
          <w:b/>
          <w:bCs/>
          <w:sz w:val="30"/>
          <w:szCs w:val="30"/>
        </w:rPr>
      </w:pPr>
      <w:bookmarkStart w:id="0" w:name="_Toc121990235"/>
      <w:r w:rsidRPr="00243FD5">
        <w:rPr>
          <w:rFonts w:ascii="標楷體" w:eastAsia="標楷體" w:hAnsi="標楷體" w:hint="eastAsia"/>
          <w:b/>
          <w:bCs/>
          <w:sz w:val="30"/>
          <w:szCs w:val="30"/>
        </w:rPr>
        <w:t>財團法人中華民國證券櫃檯買賣中心</w:t>
      </w:r>
      <w:bookmarkStart w:id="1" w:name="_Hlk119676571"/>
    </w:p>
    <w:p w14:paraId="22FBB082" w14:textId="77777777" w:rsidR="00243FD5" w:rsidRPr="00243FD5" w:rsidRDefault="00C45B8C" w:rsidP="00245C6D">
      <w:pPr>
        <w:spacing w:after="0" w:line="440" w:lineRule="exact"/>
        <w:jc w:val="center"/>
        <w:rPr>
          <w:rFonts w:ascii="標楷體" w:eastAsia="標楷體" w:hAnsi="標楷體"/>
          <w:b/>
          <w:bCs/>
          <w:sz w:val="30"/>
          <w:szCs w:val="30"/>
        </w:rPr>
      </w:pPr>
      <w:r w:rsidRPr="00243FD5">
        <w:rPr>
          <w:rFonts w:ascii="標楷體" w:eastAsia="標楷體" w:hAnsi="標楷體" w:hint="eastAsia"/>
          <w:b/>
          <w:bCs/>
          <w:sz w:val="30"/>
          <w:szCs w:val="30"/>
        </w:rPr>
        <w:t>櫃檯買賣證券經紀商受託買賣預收款</w:t>
      </w:r>
      <w:proofErr w:type="gramStart"/>
      <w:r w:rsidRPr="00243FD5">
        <w:rPr>
          <w:rFonts w:ascii="標楷體" w:eastAsia="標楷體" w:hAnsi="標楷體" w:hint="eastAsia"/>
          <w:b/>
          <w:bCs/>
          <w:sz w:val="30"/>
          <w:szCs w:val="30"/>
        </w:rPr>
        <w:t>券</w:t>
      </w:r>
      <w:proofErr w:type="gramEnd"/>
      <w:r w:rsidRPr="00243FD5">
        <w:rPr>
          <w:rFonts w:ascii="標楷體" w:eastAsia="標楷體" w:hAnsi="標楷體" w:hint="eastAsia"/>
          <w:b/>
          <w:bCs/>
          <w:sz w:val="30"/>
          <w:szCs w:val="30"/>
        </w:rPr>
        <w:t>有價證券應行注意事項</w:t>
      </w:r>
      <w:bookmarkEnd w:id="1"/>
    </w:p>
    <w:p w14:paraId="22EF014E" w14:textId="37291A1D" w:rsidR="00786002" w:rsidRPr="007B45A5" w:rsidRDefault="0085718C" w:rsidP="00245C6D">
      <w:pPr>
        <w:spacing w:after="0" w:line="440" w:lineRule="exact"/>
        <w:jc w:val="center"/>
        <w:rPr>
          <w:rFonts w:ascii="標楷體" w:eastAsia="標楷體" w:hAnsi="標楷體"/>
          <w:b/>
          <w:bCs/>
          <w:sz w:val="32"/>
          <w:szCs w:val="32"/>
        </w:rPr>
      </w:pPr>
      <w:r w:rsidRPr="00243FD5">
        <w:rPr>
          <w:rFonts w:ascii="標楷體" w:eastAsia="標楷體" w:hAnsi="標楷體" w:hint="eastAsia"/>
          <w:b/>
          <w:bCs/>
          <w:sz w:val="30"/>
          <w:szCs w:val="30"/>
        </w:rPr>
        <w:t>第二</w:t>
      </w:r>
      <w:r w:rsidR="00C45B8C" w:rsidRPr="00243FD5">
        <w:rPr>
          <w:rFonts w:ascii="標楷體" w:eastAsia="標楷體" w:hAnsi="標楷體" w:hint="eastAsia"/>
          <w:b/>
          <w:bCs/>
          <w:sz w:val="30"/>
          <w:szCs w:val="30"/>
        </w:rPr>
        <w:t>點</w:t>
      </w:r>
      <w:r w:rsidR="00E35FA3" w:rsidRPr="00243FD5">
        <w:rPr>
          <w:rFonts w:ascii="標楷體" w:eastAsia="標楷體" w:hAnsi="標楷體" w:hint="eastAsia"/>
          <w:b/>
          <w:bCs/>
          <w:sz w:val="30"/>
          <w:szCs w:val="30"/>
        </w:rPr>
        <w:t>及</w:t>
      </w:r>
      <w:r w:rsidR="008144EB" w:rsidRPr="00243FD5">
        <w:rPr>
          <w:rFonts w:ascii="標楷體" w:eastAsia="標楷體" w:hAnsi="標楷體" w:hint="eastAsia"/>
          <w:b/>
          <w:bCs/>
          <w:sz w:val="30"/>
          <w:szCs w:val="30"/>
        </w:rPr>
        <w:t>第七點</w:t>
      </w:r>
      <w:r w:rsidR="00DB2A46" w:rsidRPr="00243FD5">
        <w:rPr>
          <w:rFonts w:ascii="標楷體" w:eastAsia="標楷體" w:hAnsi="標楷體" w:hint="eastAsia"/>
          <w:b/>
          <w:bCs/>
          <w:sz w:val="30"/>
          <w:szCs w:val="30"/>
        </w:rPr>
        <w:t>修正條文對照表</w:t>
      </w:r>
      <w:bookmarkEnd w:id="0"/>
    </w:p>
    <w:tbl>
      <w:tblPr>
        <w:tblStyle w:val="a3"/>
        <w:tblW w:w="9640" w:type="dxa"/>
        <w:jc w:val="center"/>
        <w:tblLayout w:type="fixed"/>
        <w:tblLook w:val="04A0" w:firstRow="1" w:lastRow="0" w:firstColumn="1" w:lastColumn="0" w:noHBand="0" w:noVBand="1"/>
      </w:tblPr>
      <w:tblGrid>
        <w:gridCol w:w="3213"/>
        <w:gridCol w:w="3213"/>
        <w:gridCol w:w="3214"/>
      </w:tblGrid>
      <w:tr w:rsidR="00DB2A46" w:rsidRPr="000B2FA6" w14:paraId="45452740" w14:textId="77777777" w:rsidTr="00B1607B">
        <w:trPr>
          <w:tblHeader/>
          <w:jc w:val="center"/>
        </w:trPr>
        <w:tc>
          <w:tcPr>
            <w:tcW w:w="3213" w:type="dxa"/>
          </w:tcPr>
          <w:p w14:paraId="28D0776D" w14:textId="77777777" w:rsidR="00DB2A46" w:rsidRPr="005369F6" w:rsidRDefault="00DB2A46" w:rsidP="00BE3C15">
            <w:pPr>
              <w:snapToGrid w:val="0"/>
              <w:spacing w:line="440" w:lineRule="exact"/>
              <w:ind w:firstLineChars="200" w:firstLine="480"/>
              <w:jc w:val="center"/>
              <w:rPr>
                <w:rFonts w:ascii="標楷體" w:eastAsia="標楷體" w:hAnsi="標楷體"/>
                <w:sz w:val="24"/>
                <w:szCs w:val="24"/>
              </w:rPr>
            </w:pPr>
            <w:r w:rsidRPr="005369F6">
              <w:rPr>
                <w:rFonts w:ascii="標楷體" w:eastAsia="標楷體" w:hAnsi="標楷體" w:hint="eastAsia"/>
                <w:sz w:val="24"/>
                <w:szCs w:val="24"/>
              </w:rPr>
              <w:t>修正條文</w:t>
            </w:r>
          </w:p>
        </w:tc>
        <w:tc>
          <w:tcPr>
            <w:tcW w:w="3213" w:type="dxa"/>
          </w:tcPr>
          <w:p w14:paraId="60826A23" w14:textId="77777777" w:rsidR="00DB2A46" w:rsidRPr="005369F6" w:rsidRDefault="00DB2A46" w:rsidP="00BE3C15">
            <w:pPr>
              <w:snapToGrid w:val="0"/>
              <w:spacing w:line="440" w:lineRule="exact"/>
              <w:jc w:val="center"/>
              <w:rPr>
                <w:rFonts w:ascii="標楷體" w:eastAsia="標楷體" w:hAnsi="標楷體"/>
                <w:sz w:val="24"/>
                <w:szCs w:val="24"/>
              </w:rPr>
            </w:pPr>
            <w:r w:rsidRPr="005369F6">
              <w:rPr>
                <w:rFonts w:ascii="標楷體" w:eastAsia="標楷體" w:hAnsi="標楷體" w:hint="eastAsia"/>
                <w:sz w:val="24"/>
                <w:szCs w:val="24"/>
              </w:rPr>
              <w:t>現行條文</w:t>
            </w:r>
          </w:p>
        </w:tc>
        <w:tc>
          <w:tcPr>
            <w:tcW w:w="3214" w:type="dxa"/>
          </w:tcPr>
          <w:p w14:paraId="062E9CE1" w14:textId="77777777" w:rsidR="00DB2A46" w:rsidRPr="005369F6" w:rsidRDefault="00DB2A46" w:rsidP="00BE3C15">
            <w:pPr>
              <w:snapToGrid w:val="0"/>
              <w:spacing w:line="440" w:lineRule="exact"/>
              <w:jc w:val="center"/>
              <w:rPr>
                <w:rFonts w:ascii="標楷體" w:eastAsia="標楷體" w:hAnsi="標楷體"/>
                <w:sz w:val="24"/>
                <w:szCs w:val="24"/>
              </w:rPr>
            </w:pPr>
            <w:r w:rsidRPr="005369F6">
              <w:rPr>
                <w:rFonts w:ascii="標楷體" w:eastAsia="標楷體" w:hAnsi="標楷體" w:hint="eastAsia"/>
                <w:sz w:val="24"/>
                <w:szCs w:val="24"/>
              </w:rPr>
              <w:t>說明</w:t>
            </w:r>
          </w:p>
        </w:tc>
      </w:tr>
      <w:tr w:rsidR="009549C9" w:rsidRPr="00B4362B" w14:paraId="716B80C9" w14:textId="77777777" w:rsidTr="00B1607B">
        <w:trPr>
          <w:jc w:val="center"/>
        </w:trPr>
        <w:tc>
          <w:tcPr>
            <w:tcW w:w="3213" w:type="dxa"/>
          </w:tcPr>
          <w:p w14:paraId="6B49A1C8" w14:textId="6EFF0BB4" w:rsidR="00243FD5" w:rsidRDefault="009549C9" w:rsidP="00243FD5">
            <w:pPr>
              <w:pStyle w:val="HTML"/>
              <w:snapToGrid w:val="0"/>
              <w:spacing w:after="0" w:line="360" w:lineRule="exact"/>
              <w:ind w:left="480" w:hangingChars="200" w:hanging="480"/>
              <w:jc w:val="both"/>
              <w:rPr>
                <w:rFonts w:ascii="標楷體" w:eastAsia="標楷體" w:hAnsi="標楷體"/>
                <w:color w:val="auto"/>
                <w:sz w:val="24"/>
              </w:rPr>
            </w:pPr>
            <w:r w:rsidRPr="007730FF">
              <w:rPr>
                <w:rFonts w:ascii="標楷體" w:eastAsia="標楷體" w:hAnsi="標楷體" w:hint="eastAsia"/>
                <w:color w:val="auto"/>
                <w:sz w:val="24"/>
              </w:rPr>
              <w:t>二、</w:t>
            </w:r>
            <w:r w:rsidR="00243FD5">
              <w:rPr>
                <w:rFonts w:ascii="標楷體" w:eastAsia="標楷體" w:hAnsi="標楷體" w:hint="eastAsia"/>
                <w:color w:val="auto"/>
                <w:sz w:val="24"/>
              </w:rPr>
              <w:t>(第一、二項未修正，略)</w:t>
            </w:r>
          </w:p>
          <w:p w14:paraId="55E3D71F" w14:textId="7F4B64B7" w:rsidR="009549C9" w:rsidRPr="00243FD5" w:rsidRDefault="009549C9" w:rsidP="00A365A0">
            <w:pPr>
              <w:pStyle w:val="HTML"/>
              <w:snapToGrid w:val="0"/>
              <w:spacing w:after="0" w:line="360" w:lineRule="exact"/>
              <w:ind w:leftChars="200" w:left="440"/>
              <w:jc w:val="both"/>
              <w:rPr>
                <w:rFonts w:ascii="標楷體" w:eastAsia="標楷體" w:hAnsi="標楷體"/>
                <w:color w:val="auto"/>
                <w:sz w:val="24"/>
                <w:u w:val="single"/>
              </w:rPr>
            </w:pPr>
            <w:r w:rsidRPr="002E1C0B">
              <w:rPr>
                <w:rFonts w:ascii="標楷體" w:eastAsia="標楷體" w:hAnsi="標楷體" w:hint="eastAsia"/>
                <w:color w:val="auto"/>
                <w:sz w:val="24"/>
                <w:u w:val="single"/>
              </w:rPr>
              <w:t>證券經紀商</w:t>
            </w:r>
            <w:r w:rsidR="00A365A0" w:rsidRPr="002E1C0B">
              <w:rPr>
                <w:rFonts w:ascii="標楷體" w:eastAsia="標楷體" w:hAnsi="標楷體" w:hint="eastAsia"/>
                <w:color w:val="auto"/>
                <w:sz w:val="24"/>
                <w:u w:val="single"/>
              </w:rPr>
              <w:t>接受境外華僑及外國人委託買賣受處置有價證券</w:t>
            </w:r>
            <w:r w:rsidR="00491597" w:rsidRPr="002E1C0B">
              <w:rPr>
                <w:rFonts w:ascii="標楷體" w:eastAsia="標楷體" w:hAnsi="標楷體" w:hint="eastAsia"/>
                <w:color w:val="auto"/>
                <w:sz w:val="24"/>
                <w:u w:val="single"/>
              </w:rPr>
              <w:t>，</w:t>
            </w:r>
            <w:r w:rsidR="007D1024" w:rsidRPr="002E1C0B">
              <w:rPr>
                <w:rFonts w:ascii="標楷體" w:eastAsia="標楷體" w:hAnsi="標楷體" w:hint="eastAsia"/>
                <w:color w:val="auto"/>
                <w:sz w:val="24"/>
                <w:u w:val="single"/>
              </w:rPr>
              <w:t>且該</w:t>
            </w:r>
            <w:r w:rsidR="00491597" w:rsidRPr="002E1C0B">
              <w:rPr>
                <w:rFonts w:ascii="標楷體" w:eastAsia="標楷體" w:hAnsi="標楷體" w:hint="eastAsia"/>
                <w:color w:val="auto"/>
                <w:sz w:val="24"/>
                <w:u w:val="single"/>
              </w:rPr>
              <w:t>境外華僑及外國人</w:t>
            </w:r>
            <w:r w:rsidR="008E4B74" w:rsidRPr="002E1C0B">
              <w:rPr>
                <w:rFonts w:ascii="標楷體" w:eastAsia="標楷體" w:hAnsi="標楷體" w:hint="eastAsia"/>
                <w:color w:val="auto"/>
                <w:sz w:val="24"/>
                <w:u w:val="single"/>
              </w:rPr>
              <w:t>與保管機構約定已圈存之款</w:t>
            </w:r>
            <w:proofErr w:type="gramStart"/>
            <w:r w:rsidR="008E4B74" w:rsidRPr="002E1C0B">
              <w:rPr>
                <w:rFonts w:ascii="標楷體" w:eastAsia="標楷體" w:hAnsi="標楷體" w:hint="eastAsia"/>
                <w:color w:val="auto"/>
                <w:sz w:val="24"/>
                <w:u w:val="single"/>
              </w:rPr>
              <w:t>券</w:t>
            </w:r>
            <w:proofErr w:type="gramEnd"/>
            <w:r w:rsidR="008E4B74" w:rsidRPr="002E1C0B">
              <w:rPr>
                <w:rFonts w:ascii="標楷體" w:eastAsia="標楷體" w:hAnsi="標楷體" w:hint="eastAsia"/>
                <w:color w:val="auto"/>
                <w:sz w:val="24"/>
                <w:u w:val="single"/>
              </w:rPr>
              <w:t>不得</w:t>
            </w:r>
            <w:proofErr w:type="gramStart"/>
            <w:r w:rsidR="008E4B74" w:rsidRPr="002E1C0B">
              <w:rPr>
                <w:rFonts w:ascii="標楷體" w:eastAsia="標楷體" w:hAnsi="標楷體" w:hint="eastAsia"/>
                <w:color w:val="auto"/>
                <w:sz w:val="24"/>
                <w:u w:val="single"/>
              </w:rPr>
              <w:t>匯</w:t>
            </w:r>
            <w:proofErr w:type="gramEnd"/>
            <w:r w:rsidR="008E4B74" w:rsidRPr="002E1C0B">
              <w:rPr>
                <w:rFonts w:ascii="標楷體" w:eastAsia="標楷體" w:hAnsi="標楷體" w:hint="eastAsia"/>
                <w:color w:val="auto"/>
                <w:sz w:val="24"/>
                <w:u w:val="single"/>
              </w:rPr>
              <w:t>撥移作他用</w:t>
            </w:r>
            <w:r w:rsidR="00A365A0" w:rsidRPr="002E1C0B">
              <w:rPr>
                <w:rFonts w:ascii="標楷體" w:eastAsia="標楷體" w:hAnsi="標楷體" w:hint="eastAsia"/>
                <w:color w:val="auto"/>
                <w:sz w:val="24"/>
                <w:u w:val="single"/>
              </w:rPr>
              <w:t>者</w:t>
            </w:r>
            <w:r w:rsidRPr="002E1C0B">
              <w:rPr>
                <w:rFonts w:ascii="標楷體" w:eastAsia="標楷體" w:hAnsi="標楷體" w:hint="eastAsia"/>
                <w:color w:val="auto"/>
                <w:sz w:val="24"/>
                <w:u w:val="single"/>
              </w:rPr>
              <w:t>，得經臺灣集中保管結算所相關作業系統，確認保管機構已圈存足額款</w:t>
            </w:r>
            <w:proofErr w:type="gramStart"/>
            <w:r w:rsidRPr="002E1C0B">
              <w:rPr>
                <w:rFonts w:ascii="標楷體" w:eastAsia="標楷體" w:hAnsi="標楷體" w:hint="eastAsia"/>
                <w:color w:val="auto"/>
                <w:sz w:val="24"/>
                <w:u w:val="single"/>
              </w:rPr>
              <w:t>券</w:t>
            </w:r>
            <w:proofErr w:type="gramEnd"/>
            <w:r w:rsidR="00C11116" w:rsidRPr="002E1C0B">
              <w:rPr>
                <w:rFonts w:ascii="標楷體" w:eastAsia="標楷體" w:hAnsi="標楷體" w:hint="eastAsia"/>
                <w:color w:val="auto"/>
                <w:sz w:val="24"/>
                <w:u w:val="single"/>
              </w:rPr>
              <w:t>後</w:t>
            </w:r>
            <w:r w:rsidRPr="002E1C0B">
              <w:rPr>
                <w:rFonts w:ascii="標楷體" w:eastAsia="標楷體" w:hAnsi="標楷體" w:hint="eastAsia"/>
                <w:color w:val="auto"/>
                <w:sz w:val="24"/>
                <w:u w:val="single"/>
              </w:rPr>
              <w:t>，始得辦理買賣申報。</w:t>
            </w:r>
          </w:p>
        </w:tc>
        <w:tc>
          <w:tcPr>
            <w:tcW w:w="3213" w:type="dxa"/>
          </w:tcPr>
          <w:p w14:paraId="1D990B9F" w14:textId="345D1E71" w:rsidR="009549C9" w:rsidRPr="001A55BC" w:rsidRDefault="009549C9" w:rsidP="009549C9">
            <w:pPr>
              <w:pStyle w:val="HTML"/>
              <w:snapToGrid w:val="0"/>
              <w:spacing w:after="0" w:line="360" w:lineRule="exact"/>
              <w:ind w:left="480" w:hangingChars="200" w:hanging="480"/>
              <w:jc w:val="both"/>
              <w:rPr>
                <w:rFonts w:ascii="標楷體" w:eastAsia="標楷體" w:hAnsi="標楷體"/>
                <w:color w:val="auto"/>
                <w:sz w:val="24"/>
              </w:rPr>
            </w:pPr>
            <w:r w:rsidRPr="007730FF">
              <w:rPr>
                <w:rFonts w:ascii="標楷體" w:eastAsia="標楷體" w:hAnsi="標楷體" w:hint="eastAsia"/>
                <w:color w:val="auto"/>
                <w:sz w:val="24"/>
              </w:rPr>
              <w:t>二、</w:t>
            </w:r>
            <w:r>
              <w:rPr>
                <w:rFonts w:ascii="標楷體" w:eastAsia="標楷體" w:hAnsi="標楷體" w:hint="eastAsia"/>
                <w:color w:val="auto"/>
                <w:sz w:val="24"/>
              </w:rPr>
              <w:t>(第</w:t>
            </w:r>
            <w:r w:rsidR="00243FD5">
              <w:rPr>
                <w:rFonts w:ascii="標楷體" w:eastAsia="標楷體" w:hAnsi="標楷體" w:hint="eastAsia"/>
                <w:color w:val="auto"/>
                <w:sz w:val="24"/>
              </w:rPr>
              <w:t>一、</w:t>
            </w:r>
            <w:r>
              <w:rPr>
                <w:rFonts w:ascii="標楷體" w:eastAsia="標楷體" w:hAnsi="標楷體" w:hint="eastAsia"/>
                <w:color w:val="auto"/>
                <w:sz w:val="24"/>
              </w:rPr>
              <w:t>二項未修正，略)</w:t>
            </w:r>
          </w:p>
          <w:p w14:paraId="20C097B5" w14:textId="3219A9EF" w:rsidR="009549C9" w:rsidRPr="007C4860" w:rsidRDefault="009549C9" w:rsidP="009549C9">
            <w:pPr>
              <w:adjustRightInd w:val="0"/>
              <w:snapToGrid w:val="0"/>
              <w:spacing w:beforeLines="50" w:before="180" w:afterLines="50" w:after="180"/>
              <w:jc w:val="both"/>
              <w:rPr>
                <w:rFonts w:ascii="標楷體" w:eastAsia="標楷體" w:hAnsi="標楷體"/>
                <w:sz w:val="24"/>
              </w:rPr>
            </w:pPr>
          </w:p>
        </w:tc>
        <w:tc>
          <w:tcPr>
            <w:tcW w:w="3214" w:type="dxa"/>
          </w:tcPr>
          <w:p w14:paraId="240B091C" w14:textId="5C0390DE" w:rsidR="009549C9" w:rsidRDefault="009549C9" w:rsidP="008A6403">
            <w:pPr>
              <w:pStyle w:val="HTML"/>
              <w:snapToGrid w:val="0"/>
              <w:spacing w:after="0" w:line="360" w:lineRule="exact"/>
              <w:ind w:left="480" w:hangingChars="200" w:hanging="480"/>
              <w:jc w:val="both"/>
              <w:rPr>
                <w:rFonts w:ascii="標楷體" w:eastAsia="標楷體" w:hAnsi="標楷體"/>
                <w:color w:val="auto"/>
                <w:sz w:val="24"/>
                <w:lang w:eastAsia="zh-HK"/>
              </w:rPr>
            </w:pPr>
            <w:r>
              <w:rPr>
                <w:rFonts w:ascii="標楷體" w:eastAsia="標楷體" w:hAnsi="標楷體" w:hint="eastAsia"/>
                <w:color w:val="auto"/>
                <w:sz w:val="24"/>
                <w:lang w:eastAsia="zh-HK"/>
              </w:rPr>
              <w:t>一、</w:t>
            </w:r>
            <w:r w:rsidRPr="008B60D5">
              <w:rPr>
                <w:rFonts w:ascii="標楷體" w:eastAsia="標楷體" w:hAnsi="標楷體" w:hint="eastAsia"/>
                <w:color w:val="auto"/>
                <w:sz w:val="24"/>
                <w:lang w:eastAsia="zh-HK"/>
              </w:rPr>
              <w:t>鑒於外資證券經紀商及保管機構提出現行</w:t>
            </w:r>
            <w:r>
              <w:rPr>
                <w:rFonts w:ascii="標楷體" w:eastAsia="標楷體" w:hAnsi="標楷體" w:hint="eastAsia"/>
                <w:color w:val="auto"/>
                <w:sz w:val="24"/>
                <w:lang w:eastAsia="zh-HK"/>
              </w:rPr>
              <w:t>辦理預收款券之作業，</w:t>
            </w:r>
            <w:r w:rsidRPr="008B60D5">
              <w:rPr>
                <w:rFonts w:ascii="標楷體" w:eastAsia="標楷體" w:hAnsi="標楷體" w:hint="eastAsia"/>
                <w:color w:val="auto"/>
                <w:sz w:val="24"/>
                <w:lang w:eastAsia="zh-HK"/>
              </w:rPr>
              <w:t>因時差</w:t>
            </w:r>
            <w:r>
              <w:rPr>
                <w:rFonts w:ascii="標楷體" w:eastAsia="標楷體" w:hAnsi="標楷體" w:hint="eastAsia"/>
                <w:color w:val="auto"/>
                <w:sz w:val="24"/>
                <w:lang w:eastAsia="zh-HK"/>
              </w:rPr>
              <w:t>及或保管機構</w:t>
            </w:r>
            <w:r w:rsidR="00243FD5">
              <w:rPr>
                <w:rFonts w:ascii="標楷體" w:eastAsia="標楷體" w:hAnsi="標楷體" w:hint="eastAsia"/>
                <w:color w:val="auto"/>
                <w:sz w:val="24"/>
                <w:lang w:eastAsia="zh-HK"/>
              </w:rPr>
              <w:t>有</w:t>
            </w:r>
            <w:r>
              <w:rPr>
                <w:rFonts w:ascii="標楷體" w:eastAsia="標楷體" w:hAnsi="標楷體" w:hint="eastAsia"/>
                <w:color w:val="auto"/>
                <w:sz w:val="24"/>
                <w:lang w:eastAsia="zh-HK"/>
              </w:rPr>
              <w:t>通知作業繁鎖等因素而影響</w:t>
            </w:r>
            <w:r w:rsidRPr="008B60D5">
              <w:rPr>
                <w:rFonts w:ascii="標楷體" w:eastAsia="標楷體" w:hAnsi="標楷體" w:hint="eastAsia"/>
                <w:color w:val="auto"/>
                <w:sz w:val="24"/>
                <w:lang w:eastAsia="zh-HK"/>
              </w:rPr>
              <w:t>客戶下單</w:t>
            </w:r>
            <w:r>
              <w:rPr>
                <w:rFonts w:ascii="標楷體" w:eastAsia="標楷體" w:hAnsi="標楷體" w:hint="eastAsia"/>
                <w:color w:val="auto"/>
                <w:sz w:val="24"/>
                <w:lang w:eastAsia="zh-HK"/>
              </w:rPr>
              <w:t>時程之</w:t>
            </w:r>
            <w:r w:rsidRPr="008B60D5">
              <w:rPr>
                <w:rFonts w:ascii="標楷體" w:eastAsia="標楷體" w:hAnsi="標楷體" w:hint="eastAsia"/>
                <w:color w:val="auto"/>
                <w:sz w:val="24"/>
                <w:lang w:eastAsia="zh-HK"/>
              </w:rPr>
              <w:t>情事，</w:t>
            </w:r>
            <w:r w:rsidRPr="0097756A">
              <w:rPr>
                <w:rFonts w:ascii="標楷體" w:eastAsia="標楷體" w:hAnsi="標楷體" w:hint="eastAsia"/>
                <w:color w:val="auto"/>
                <w:sz w:val="24"/>
                <w:lang w:eastAsia="zh-HK"/>
              </w:rPr>
              <w:t>爰增訂本點第</w:t>
            </w:r>
            <w:r w:rsidRPr="0097756A">
              <w:rPr>
                <w:rFonts w:ascii="標楷體" w:eastAsia="標楷體" w:hAnsi="標楷體" w:hint="eastAsia"/>
                <w:color w:val="auto"/>
                <w:sz w:val="24"/>
              </w:rPr>
              <w:t>3</w:t>
            </w:r>
            <w:r w:rsidRPr="0097756A">
              <w:rPr>
                <w:rFonts w:ascii="標楷體" w:eastAsia="標楷體" w:hAnsi="標楷體" w:hint="eastAsia"/>
                <w:color w:val="auto"/>
                <w:sz w:val="24"/>
                <w:lang w:eastAsia="zh-HK"/>
              </w:rPr>
              <w:t>項</w:t>
            </w:r>
            <w:r w:rsidRPr="0097756A">
              <w:rPr>
                <w:rFonts w:ascii="標楷體" w:eastAsia="標楷體" w:hAnsi="標楷體" w:hint="eastAsia"/>
                <w:color w:val="auto"/>
                <w:sz w:val="24"/>
              </w:rPr>
              <w:t>，</w:t>
            </w:r>
            <w:r w:rsidR="008A6403" w:rsidRPr="008A6403">
              <w:rPr>
                <w:rFonts w:ascii="標楷體" w:eastAsia="標楷體" w:hAnsi="標楷體" w:hint="eastAsia"/>
                <w:color w:val="auto"/>
                <w:sz w:val="24"/>
              </w:rPr>
              <w:t>增加證券經紀商接受境外華僑及外國人委託買賣受處置有價證券時，如境外華僑及外國人與保管機構約定已圈存之款券不得匯撥移作他用者，</w:t>
            </w:r>
            <w:r w:rsidR="00CF12B1" w:rsidRPr="00CF12B1">
              <w:rPr>
                <w:rFonts w:ascii="標楷體" w:eastAsia="標楷體" w:hAnsi="標楷體" w:hint="eastAsia"/>
                <w:color w:val="auto"/>
                <w:sz w:val="24"/>
                <w:lang w:eastAsia="zh-HK"/>
              </w:rPr>
              <w:t>其預收款券作業</w:t>
            </w:r>
            <w:r w:rsidRPr="0097756A">
              <w:rPr>
                <w:rFonts w:ascii="標楷體" w:eastAsia="標楷體" w:hAnsi="標楷體" w:hint="eastAsia"/>
                <w:color w:val="auto"/>
                <w:sz w:val="24"/>
                <w:lang w:eastAsia="zh-HK"/>
              </w:rPr>
              <w:t>，</w:t>
            </w:r>
            <w:r w:rsidR="008A6403" w:rsidRPr="0097756A">
              <w:rPr>
                <w:rFonts w:ascii="標楷體" w:eastAsia="標楷體" w:hAnsi="標楷體" w:hint="eastAsia"/>
                <w:color w:val="auto"/>
                <w:sz w:val="24"/>
                <w:lang w:eastAsia="zh-HK"/>
              </w:rPr>
              <w:t>保管機構無須將款券匯撥入證券經紀商交割專戶</w:t>
            </w:r>
            <w:r w:rsidR="008A6403">
              <w:rPr>
                <w:rFonts w:ascii="標楷體" w:eastAsia="標楷體" w:hAnsi="標楷體" w:hint="eastAsia"/>
                <w:color w:val="auto"/>
                <w:sz w:val="24"/>
                <w:lang w:eastAsia="zh-HK"/>
              </w:rPr>
              <w:t>，</w:t>
            </w:r>
            <w:r w:rsidRPr="0097756A">
              <w:rPr>
                <w:rFonts w:ascii="標楷體" w:eastAsia="標楷體" w:hAnsi="標楷體" w:hint="eastAsia"/>
                <w:color w:val="auto"/>
                <w:sz w:val="24"/>
                <w:lang w:eastAsia="zh-HK"/>
              </w:rPr>
              <w:t>得由保管機構依客戶指示及證券經紀商通知，將款券圈存於保管機構端，且透過第三方公正機構臺灣集中保管結算所SMART作業系統相互傳達圈存訊息之彈性措施</w:t>
            </w:r>
            <w:r w:rsidRPr="009037E9">
              <w:rPr>
                <w:rFonts w:ascii="標楷體" w:eastAsia="標楷體" w:hAnsi="標楷體" w:hint="eastAsia"/>
                <w:color w:val="auto"/>
                <w:sz w:val="24"/>
                <w:lang w:eastAsia="zh-HK"/>
              </w:rPr>
              <w:t>。</w:t>
            </w:r>
          </w:p>
          <w:p w14:paraId="1788AD42" w14:textId="586C2ED8" w:rsidR="009549C9" w:rsidRPr="00ED6367" w:rsidRDefault="009549C9" w:rsidP="008E4B74">
            <w:pPr>
              <w:pStyle w:val="HTML"/>
              <w:snapToGrid w:val="0"/>
              <w:spacing w:after="0" w:line="360" w:lineRule="exact"/>
              <w:ind w:left="480" w:hangingChars="200" w:hanging="480"/>
              <w:jc w:val="both"/>
              <w:rPr>
                <w:rFonts w:ascii="標楷體" w:eastAsia="標楷體" w:hAnsi="標楷體"/>
                <w:color w:val="auto"/>
                <w:sz w:val="24"/>
                <w:lang w:eastAsia="zh-HK"/>
              </w:rPr>
            </w:pPr>
            <w:r>
              <w:rPr>
                <w:rFonts w:ascii="標楷體" w:eastAsia="標楷體" w:hAnsi="標楷體" w:hint="eastAsia"/>
                <w:color w:val="auto"/>
                <w:sz w:val="24"/>
                <w:lang w:eastAsia="zh-HK"/>
              </w:rPr>
              <w:t>二、</w:t>
            </w:r>
            <w:r w:rsidRPr="0097756A">
              <w:rPr>
                <w:rFonts w:ascii="標楷體" w:eastAsia="標楷體" w:hAnsi="標楷體" w:hint="eastAsia"/>
                <w:color w:val="auto"/>
                <w:sz w:val="24"/>
                <w:lang w:eastAsia="zh-HK"/>
              </w:rPr>
              <w:t>證券經紀商與保管機構需留存集保結算所資訊平台提供之圈存相關資料，俾利查核。</w:t>
            </w:r>
          </w:p>
        </w:tc>
      </w:tr>
      <w:tr w:rsidR="009549C9" w:rsidRPr="00B4362B" w14:paraId="44FFFDEC" w14:textId="77777777" w:rsidTr="00B1607B">
        <w:trPr>
          <w:jc w:val="center"/>
        </w:trPr>
        <w:tc>
          <w:tcPr>
            <w:tcW w:w="3213" w:type="dxa"/>
          </w:tcPr>
          <w:p w14:paraId="0CB0F7E2" w14:textId="532F9223" w:rsidR="009549C9" w:rsidRPr="007730FF" w:rsidRDefault="009549C9" w:rsidP="009549C9">
            <w:pPr>
              <w:pStyle w:val="HTML"/>
              <w:snapToGrid w:val="0"/>
              <w:spacing w:after="0" w:line="360" w:lineRule="exact"/>
              <w:ind w:left="480" w:hangingChars="200" w:hanging="480"/>
              <w:jc w:val="both"/>
              <w:rPr>
                <w:rFonts w:ascii="標楷體" w:eastAsia="標楷體" w:hAnsi="標楷體"/>
                <w:color w:val="auto"/>
                <w:sz w:val="24"/>
              </w:rPr>
            </w:pPr>
            <w:r>
              <w:rPr>
                <w:rFonts w:ascii="標楷體" w:eastAsia="標楷體" w:hAnsi="標楷體" w:hint="eastAsia"/>
                <w:color w:val="auto"/>
                <w:sz w:val="24"/>
              </w:rPr>
              <w:t>七、</w:t>
            </w:r>
            <w:r w:rsidRPr="00E35FA3">
              <w:rPr>
                <w:rFonts w:ascii="標楷體" w:eastAsia="標楷體" w:hAnsi="標楷體" w:hint="eastAsia"/>
                <w:color w:val="auto"/>
                <w:sz w:val="24"/>
              </w:rPr>
              <w:t>本注意事項有關預收款</w:t>
            </w:r>
            <w:proofErr w:type="gramStart"/>
            <w:r w:rsidRPr="00E35FA3">
              <w:rPr>
                <w:rFonts w:ascii="標楷體" w:eastAsia="標楷體" w:hAnsi="標楷體" w:hint="eastAsia"/>
                <w:color w:val="auto"/>
                <w:sz w:val="24"/>
              </w:rPr>
              <w:t>券</w:t>
            </w:r>
            <w:proofErr w:type="gramEnd"/>
            <w:r w:rsidRPr="00E35FA3">
              <w:rPr>
                <w:rFonts w:ascii="標楷體" w:eastAsia="標楷體" w:hAnsi="標楷體" w:hint="eastAsia"/>
                <w:color w:val="auto"/>
                <w:sz w:val="24"/>
              </w:rPr>
              <w:t>之規定，於盤後零股交易不適用之。但依本</w:t>
            </w:r>
            <w:r w:rsidRPr="00E35FA3">
              <w:rPr>
                <w:rFonts w:ascii="標楷體" w:eastAsia="標楷體" w:hAnsi="標楷體" w:hint="eastAsia"/>
                <w:color w:val="auto"/>
                <w:sz w:val="24"/>
              </w:rPr>
              <w:lastRenderedPageBreak/>
              <w:t>中心證券商營業處所買賣有價證券業務規則第四十七條第五項</w:t>
            </w:r>
            <w:r w:rsidRPr="002E1C0B">
              <w:rPr>
                <w:rFonts w:ascii="標楷體" w:eastAsia="標楷體" w:hAnsi="標楷體" w:hint="eastAsia"/>
                <w:color w:val="auto"/>
                <w:sz w:val="24"/>
                <w:u w:val="single"/>
              </w:rPr>
              <w:t>或</w:t>
            </w:r>
            <w:r w:rsidR="009618B1" w:rsidRPr="002E1C0B">
              <w:rPr>
                <w:rFonts w:ascii="標楷體" w:eastAsia="標楷體" w:hAnsi="標楷體" w:hint="eastAsia"/>
                <w:color w:val="auto"/>
                <w:sz w:val="24"/>
                <w:u w:val="single"/>
              </w:rPr>
              <w:t>依</w:t>
            </w:r>
            <w:r w:rsidRPr="002E1C0B">
              <w:rPr>
                <w:rFonts w:ascii="標楷體" w:eastAsia="標楷體" w:hAnsi="標楷體" w:hint="eastAsia"/>
                <w:color w:val="auto"/>
                <w:sz w:val="24"/>
                <w:u w:val="single"/>
              </w:rPr>
              <w:t>本中心「櫃檯買賣公布或通知注意交易資訊暨處置作業要點」</w:t>
            </w:r>
            <w:r w:rsidR="001F5032" w:rsidRPr="002E1C0B">
              <w:rPr>
                <w:rFonts w:ascii="標楷體" w:eastAsia="標楷體" w:hAnsi="標楷體" w:hint="eastAsia"/>
                <w:color w:val="auto"/>
                <w:sz w:val="24"/>
                <w:u w:val="single"/>
              </w:rPr>
              <w:t>第六條</w:t>
            </w:r>
            <w:r w:rsidRPr="00E35FA3">
              <w:rPr>
                <w:rFonts w:ascii="標楷體" w:eastAsia="標楷體" w:hAnsi="標楷體" w:hint="eastAsia"/>
                <w:color w:val="auto"/>
                <w:sz w:val="24"/>
              </w:rPr>
              <w:t>規定預收款</w:t>
            </w:r>
            <w:proofErr w:type="gramStart"/>
            <w:r w:rsidRPr="00E35FA3">
              <w:rPr>
                <w:rFonts w:ascii="標楷體" w:eastAsia="標楷體" w:hAnsi="標楷體" w:hint="eastAsia"/>
                <w:color w:val="auto"/>
                <w:sz w:val="24"/>
              </w:rPr>
              <w:t>券</w:t>
            </w:r>
            <w:proofErr w:type="gramEnd"/>
            <w:r w:rsidRPr="00E35FA3">
              <w:rPr>
                <w:rFonts w:ascii="標楷體" w:eastAsia="標楷體" w:hAnsi="標楷體" w:hint="eastAsia"/>
                <w:color w:val="auto"/>
                <w:sz w:val="24"/>
              </w:rPr>
              <w:t>者，不在此限。</w:t>
            </w:r>
          </w:p>
        </w:tc>
        <w:tc>
          <w:tcPr>
            <w:tcW w:w="3213" w:type="dxa"/>
          </w:tcPr>
          <w:p w14:paraId="7C2255A4" w14:textId="4CAB97B6" w:rsidR="009549C9" w:rsidRPr="007730FF" w:rsidRDefault="009549C9" w:rsidP="009549C9">
            <w:pPr>
              <w:pStyle w:val="HTML"/>
              <w:snapToGrid w:val="0"/>
              <w:spacing w:after="0" w:line="360" w:lineRule="exact"/>
              <w:ind w:left="480" w:hangingChars="200" w:hanging="480"/>
              <w:jc w:val="both"/>
              <w:rPr>
                <w:rFonts w:ascii="標楷體" w:eastAsia="標楷體" w:hAnsi="標楷體"/>
                <w:color w:val="auto"/>
                <w:sz w:val="24"/>
              </w:rPr>
            </w:pPr>
            <w:r>
              <w:rPr>
                <w:rFonts w:ascii="標楷體" w:eastAsia="標楷體" w:hAnsi="標楷體" w:hint="eastAsia"/>
                <w:color w:val="auto"/>
                <w:sz w:val="24"/>
              </w:rPr>
              <w:lastRenderedPageBreak/>
              <w:t>七、</w:t>
            </w:r>
            <w:r w:rsidRPr="00E35FA3">
              <w:rPr>
                <w:rFonts w:ascii="標楷體" w:eastAsia="標楷體" w:hAnsi="標楷體" w:hint="eastAsia"/>
                <w:color w:val="auto"/>
                <w:sz w:val="24"/>
              </w:rPr>
              <w:t>本注意事項有關預收款</w:t>
            </w:r>
            <w:proofErr w:type="gramStart"/>
            <w:r w:rsidRPr="00E35FA3">
              <w:rPr>
                <w:rFonts w:ascii="標楷體" w:eastAsia="標楷體" w:hAnsi="標楷體" w:hint="eastAsia"/>
                <w:color w:val="auto"/>
                <w:sz w:val="24"/>
              </w:rPr>
              <w:t>券</w:t>
            </w:r>
            <w:proofErr w:type="gramEnd"/>
            <w:r w:rsidRPr="00E35FA3">
              <w:rPr>
                <w:rFonts w:ascii="標楷體" w:eastAsia="標楷體" w:hAnsi="標楷體" w:hint="eastAsia"/>
                <w:color w:val="auto"/>
                <w:sz w:val="24"/>
              </w:rPr>
              <w:t>之規定，於盤後零股交易不適用之。但依本</w:t>
            </w:r>
            <w:r w:rsidRPr="00E35FA3">
              <w:rPr>
                <w:rFonts w:ascii="標楷體" w:eastAsia="標楷體" w:hAnsi="標楷體" w:hint="eastAsia"/>
                <w:color w:val="auto"/>
                <w:sz w:val="24"/>
              </w:rPr>
              <w:lastRenderedPageBreak/>
              <w:t>中心證券商營業處所買賣有價證券業務規則第四十七條第五項規定預收款</w:t>
            </w:r>
            <w:proofErr w:type="gramStart"/>
            <w:r w:rsidRPr="00E35FA3">
              <w:rPr>
                <w:rFonts w:ascii="標楷體" w:eastAsia="標楷體" w:hAnsi="標楷體" w:hint="eastAsia"/>
                <w:color w:val="auto"/>
                <w:sz w:val="24"/>
              </w:rPr>
              <w:t>券</w:t>
            </w:r>
            <w:proofErr w:type="gramEnd"/>
            <w:r w:rsidRPr="00E35FA3">
              <w:rPr>
                <w:rFonts w:ascii="標楷體" w:eastAsia="標楷體" w:hAnsi="標楷體" w:hint="eastAsia"/>
                <w:color w:val="auto"/>
                <w:sz w:val="24"/>
              </w:rPr>
              <w:t>者，不在此限。</w:t>
            </w:r>
          </w:p>
        </w:tc>
        <w:tc>
          <w:tcPr>
            <w:tcW w:w="3214" w:type="dxa"/>
          </w:tcPr>
          <w:p w14:paraId="4C3C6BCA" w14:textId="10F61275" w:rsidR="009549C9" w:rsidRPr="008B60D5" w:rsidRDefault="009549C9" w:rsidP="009549C9">
            <w:pPr>
              <w:ind w:firstLineChars="200" w:firstLine="480"/>
              <w:jc w:val="both"/>
              <w:rPr>
                <w:rFonts w:ascii="標楷體" w:eastAsia="標楷體" w:hAnsi="標楷體"/>
                <w:sz w:val="24"/>
                <w:lang w:eastAsia="zh-HK"/>
              </w:rPr>
            </w:pPr>
            <w:r w:rsidRPr="008C15A5">
              <w:rPr>
                <w:rFonts w:ascii="標楷體" w:eastAsia="標楷體" w:hAnsi="標楷體" w:cs="細明體" w:hint="eastAsia"/>
                <w:sz w:val="24"/>
                <w:szCs w:val="24"/>
              </w:rPr>
              <w:lastRenderedPageBreak/>
              <w:t>按本中心</w:t>
            </w:r>
            <w:r>
              <w:rPr>
                <w:rFonts w:ascii="標楷體" w:eastAsia="標楷體" w:hAnsi="標楷體" w:cs="細明體" w:hint="eastAsia"/>
                <w:sz w:val="24"/>
                <w:szCs w:val="24"/>
              </w:rPr>
              <w:t>「</w:t>
            </w:r>
            <w:r w:rsidRPr="008C15A5">
              <w:rPr>
                <w:rFonts w:ascii="標楷體" w:eastAsia="標楷體" w:hAnsi="標楷體" w:cs="細明體" w:hint="eastAsia"/>
                <w:sz w:val="24"/>
                <w:szCs w:val="24"/>
              </w:rPr>
              <w:t>櫃檯買賣公布或通知注意交易資訊暨處置作業要點</w:t>
            </w:r>
            <w:r>
              <w:rPr>
                <w:rFonts w:ascii="標楷體" w:eastAsia="標楷體" w:hAnsi="標楷體" w:cs="細明體" w:hint="eastAsia"/>
                <w:sz w:val="24"/>
                <w:szCs w:val="24"/>
              </w:rPr>
              <w:t>」</w:t>
            </w:r>
            <w:r w:rsidRPr="008C15A5">
              <w:rPr>
                <w:rFonts w:ascii="標楷體" w:eastAsia="標楷體" w:hAnsi="標楷體" w:cs="細明體" w:hint="eastAsia"/>
                <w:sz w:val="24"/>
                <w:szCs w:val="24"/>
              </w:rPr>
              <w:t>第6條</w:t>
            </w:r>
            <w:r>
              <w:rPr>
                <w:rFonts w:ascii="標楷體" w:eastAsia="標楷體" w:hAnsi="標楷體" w:cs="細明體" w:hint="eastAsia"/>
                <w:sz w:val="24"/>
                <w:szCs w:val="24"/>
              </w:rPr>
              <w:t>第2項</w:t>
            </w:r>
            <w:r>
              <w:rPr>
                <w:rFonts w:ascii="標楷體" w:eastAsia="標楷體" w:hAnsi="標楷體" w:cs="細明體" w:hint="eastAsia"/>
                <w:sz w:val="24"/>
                <w:szCs w:val="24"/>
              </w:rPr>
              <w:lastRenderedPageBreak/>
              <w:t>及第</w:t>
            </w:r>
            <w:r>
              <w:rPr>
                <w:rFonts w:ascii="標楷體" w:eastAsia="標楷體" w:hAnsi="標楷體" w:cs="細明體"/>
                <w:sz w:val="24"/>
                <w:szCs w:val="24"/>
              </w:rPr>
              <w:t>3</w:t>
            </w:r>
            <w:r>
              <w:rPr>
                <w:rFonts w:ascii="標楷體" w:eastAsia="標楷體" w:hAnsi="標楷體" w:cs="細明體" w:hint="eastAsia"/>
                <w:sz w:val="24"/>
                <w:szCs w:val="24"/>
              </w:rPr>
              <w:t>項</w:t>
            </w:r>
            <w:r w:rsidRPr="008C15A5">
              <w:rPr>
                <w:rFonts w:ascii="標楷體" w:eastAsia="標楷體" w:hAnsi="標楷體" w:cs="細明體" w:hint="eastAsia"/>
                <w:sz w:val="24"/>
                <w:szCs w:val="24"/>
              </w:rPr>
              <w:t>已訂</w:t>
            </w:r>
            <w:r>
              <w:rPr>
                <w:rFonts w:ascii="標楷體" w:eastAsia="標楷體" w:hAnsi="標楷體" w:cs="細明體" w:hint="eastAsia"/>
                <w:sz w:val="24"/>
                <w:szCs w:val="24"/>
              </w:rPr>
              <w:t>定</w:t>
            </w:r>
            <w:r w:rsidRPr="008C15A5">
              <w:rPr>
                <w:rFonts w:ascii="標楷體" w:eastAsia="標楷體" w:hAnsi="標楷體" w:cs="細明體" w:hint="eastAsia"/>
                <w:sz w:val="24"/>
                <w:szCs w:val="24"/>
              </w:rPr>
              <w:t>證券經紀商於受託買賣受處置有價證券</w:t>
            </w:r>
            <w:r>
              <w:rPr>
                <w:rFonts w:ascii="標楷體" w:eastAsia="標楷體" w:hAnsi="標楷體" w:cs="細明體" w:hint="eastAsia"/>
                <w:sz w:val="24"/>
                <w:szCs w:val="24"/>
              </w:rPr>
              <w:t>相關</w:t>
            </w:r>
            <w:r w:rsidRPr="008C15A5">
              <w:rPr>
                <w:rFonts w:ascii="標楷體" w:eastAsia="標楷體" w:hAnsi="標楷體" w:cs="細明體" w:hint="eastAsia"/>
                <w:sz w:val="24"/>
                <w:szCs w:val="24"/>
              </w:rPr>
              <w:t>預收款</w:t>
            </w:r>
            <w:proofErr w:type="gramStart"/>
            <w:r w:rsidRPr="008C15A5">
              <w:rPr>
                <w:rFonts w:ascii="標楷體" w:eastAsia="標楷體" w:hAnsi="標楷體" w:cs="細明體" w:hint="eastAsia"/>
                <w:sz w:val="24"/>
                <w:szCs w:val="24"/>
              </w:rPr>
              <w:t>券</w:t>
            </w:r>
            <w:proofErr w:type="gramEnd"/>
            <w:r>
              <w:rPr>
                <w:rFonts w:ascii="標楷體" w:eastAsia="標楷體" w:hAnsi="標楷體" w:cs="細明體" w:hint="eastAsia"/>
                <w:sz w:val="24"/>
                <w:szCs w:val="24"/>
              </w:rPr>
              <w:t>標準</w:t>
            </w:r>
            <w:r w:rsidRPr="008C15A5">
              <w:rPr>
                <w:rFonts w:ascii="標楷體" w:eastAsia="標楷體" w:hAnsi="標楷體" w:cs="細明體" w:hint="eastAsia"/>
                <w:sz w:val="24"/>
                <w:szCs w:val="24"/>
              </w:rPr>
              <w:t>，</w:t>
            </w:r>
            <w:proofErr w:type="gramStart"/>
            <w:r w:rsidRPr="008C15A5">
              <w:rPr>
                <w:rFonts w:ascii="標楷體" w:eastAsia="標楷體" w:hAnsi="標楷體" w:cs="細明體" w:hint="eastAsia"/>
                <w:sz w:val="24"/>
                <w:szCs w:val="24"/>
              </w:rPr>
              <w:t>爰</w:t>
            </w:r>
            <w:proofErr w:type="gramEnd"/>
            <w:r>
              <w:rPr>
                <w:rFonts w:ascii="標楷體" w:eastAsia="標楷體" w:hAnsi="標楷體" w:cs="細明體" w:hint="eastAsia"/>
                <w:sz w:val="24"/>
                <w:szCs w:val="24"/>
              </w:rPr>
              <w:t>修正</w:t>
            </w:r>
            <w:r w:rsidRPr="008C15A5">
              <w:rPr>
                <w:rFonts w:ascii="標楷體" w:eastAsia="標楷體" w:hAnsi="標楷體" w:cs="細明體" w:hint="eastAsia"/>
                <w:sz w:val="24"/>
                <w:szCs w:val="24"/>
              </w:rPr>
              <w:t>本</w:t>
            </w:r>
            <w:r>
              <w:rPr>
                <w:rFonts w:ascii="標楷體" w:eastAsia="標楷體" w:hAnsi="標楷體" w:cs="細明體" w:hint="eastAsia"/>
                <w:sz w:val="24"/>
                <w:szCs w:val="24"/>
              </w:rPr>
              <w:t>點文字</w:t>
            </w:r>
            <w:r w:rsidRPr="008C15A5">
              <w:rPr>
                <w:rFonts w:ascii="標楷體" w:eastAsia="標楷體" w:hAnsi="標楷體" w:cs="細明體" w:hint="eastAsia"/>
                <w:sz w:val="24"/>
                <w:szCs w:val="24"/>
              </w:rPr>
              <w:t>。</w:t>
            </w:r>
          </w:p>
        </w:tc>
      </w:tr>
    </w:tbl>
    <w:p w14:paraId="771FEA11" w14:textId="782E7636" w:rsidR="00B76695" w:rsidRDefault="00B76695" w:rsidP="00285ADE">
      <w:pPr>
        <w:spacing w:line="440" w:lineRule="exact"/>
        <w:rPr>
          <w:rFonts w:ascii="標楷體" w:eastAsia="標楷體" w:hAnsi="標楷體"/>
          <w:b/>
          <w:bCs/>
          <w:sz w:val="32"/>
          <w:szCs w:val="32"/>
        </w:rPr>
      </w:pPr>
      <w:r>
        <w:rPr>
          <w:rFonts w:ascii="標楷體" w:eastAsia="標楷體" w:hAnsi="標楷體"/>
          <w:b/>
          <w:bCs/>
          <w:sz w:val="32"/>
          <w:szCs w:val="32"/>
        </w:rPr>
        <w:lastRenderedPageBreak/>
        <w:br w:type="page"/>
      </w:r>
    </w:p>
    <w:p w14:paraId="43297574" w14:textId="77777777" w:rsidR="00B76695" w:rsidRPr="006E33EF" w:rsidRDefault="00B76695" w:rsidP="00B76695">
      <w:pPr>
        <w:spacing w:after="0" w:line="440" w:lineRule="exact"/>
        <w:jc w:val="center"/>
        <w:rPr>
          <w:rFonts w:ascii="標楷體" w:eastAsia="標楷體" w:hAnsi="標楷體"/>
          <w:b/>
          <w:bCs/>
          <w:sz w:val="30"/>
          <w:szCs w:val="30"/>
        </w:rPr>
      </w:pPr>
      <w:r w:rsidRPr="006E33EF">
        <w:rPr>
          <w:rFonts w:ascii="標楷體" w:eastAsia="標楷體" w:hAnsi="標楷體" w:hint="eastAsia"/>
          <w:b/>
          <w:bCs/>
          <w:sz w:val="30"/>
          <w:szCs w:val="30"/>
        </w:rPr>
        <w:lastRenderedPageBreak/>
        <w:t>財團法人中華民國證券櫃檯買賣中心</w:t>
      </w:r>
    </w:p>
    <w:p w14:paraId="288BCC7E" w14:textId="1EDFD761" w:rsidR="00B76695" w:rsidRPr="007B45A5" w:rsidRDefault="00B76695" w:rsidP="00B76695">
      <w:pPr>
        <w:spacing w:after="0" w:line="440" w:lineRule="exact"/>
        <w:jc w:val="center"/>
        <w:rPr>
          <w:rFonts w:ascii="標楷體" w:eastAsia="標楷體" w:hAnsi="標楷體"/>
          <w:b/>
          <w:bCs/>
          <w:sz w:val="32"/>
          <w:szCs w:val="32"/>
        </w:rPr>
      </w:pPr>
      <w:r w:rsidRPr="006E33EF">
        <w:rPr>
          <w:rFonts w:ascii="標楷體" w:eastAsia="標楷體" w:hAnsi="標楷體" w:hint="eastAsia"/>
          <w:b/>
          <w:bCs/>
          <w:sz w:val="30"/>
          <w:szCs w:val="30"/>
        </w:rPr>
        <w:t>綜合交易帳戶作業要點第</w:t>
      </w:r>
      <w:r w:rsidR="009B4A52" w:rsidRPr="006E33EF">
        <w:rPr>
          <w:rFonts w:ascii="標楷體" w:eastAsia="標楷體" w:hAnsi="標楷體" w:hint="eastAsia"/>
          <w:b/>
          <w:bCs/>
          <w:sz w:val="30"/>
          <w:szCs w:val="30"/>
        </w:rPr>
        <w:t>參</w:t>
      </w:r>
      <w:r w:rsidRPr="006E33EF">
        <w:rPr>
          <w:rFonts w:ascii="標楷體" w:eastAsia="標楷體" w:hAnsi="標楷體" w:hint="eastAsia"/>
          <w:b/>
          <w:bCs/>
          <w:sz w:val="30"/>
          <w:szCs w:val="30"/>
        </w:rPr>
        <w:t>點修正條文對照表</w:t>
      </w:r>
    </w:p>
    <w:tbl>
      <w:tblPr>
        <w:tblStyle w:val="a3"/>
        <w:tblW w:w="9640" w:type="dxa"/>
        <w:jc w:val="center"/>
        <w:tblLayout w:type="fixed"/>
        <w:tblLook w:val="04A0" w:firstRow="1" w:lastRow="0" w:firstColumn="1" w:lastColumn="0" w:noHBand="0" w:noVBand="1"/>
      </w:tblPr>
      <w:tblGrid>
        <w:gridCol w:w="3213"/>
        <w:gridCol w:w="3213"/>
        <w:gridCol w:w="3214"/>
      </w:tblGrid>
      <w:tr w:rsidR="00B76695" w:rsidRPr="000B2FA6" w14:paraId="7460B9FF" w14:textId="77777777" w:rsidTr="00C44E12">
        <w:trPr>
          <w:tblHeader/>
          <w:jc w:val="center"/>
        </w:trPr>
        <w:tc>
          <w:tcPr>
            <w:tcW w:w="3213" w:type="dxa"/>
          </w:tcPr>
          <w:p w14:paraId="1630C016" w14:textId="77777777" w:rsidR="00B76695" w:rsidRPr="005369F6" w:rsidRDefault="00B76695" w:rsidP="00C44E12">
            <w:pPr>
              <w:snapToGrid w:val="0"/>
              <w:spacing w:line="440" w:lineRule="exact"/>
              <w:ind w:firstLineChars="200" w:firstLine="480"/>
              <w:jc w:val="center"/>
              <w:rPr>
                <w:rFonts w:ascii="標楷體" w:eastAsia="標楷體" w:hAnsi="標楷體"/>
                <w:sz w:val="24"/>
                <w:szCs w:val="24"/>
              </w:rPr>
            </w:pPr>
            <w:r w:rsidRPr="005369F6">
              <w:rPr>
                <w:rFonts w:ascii="標楷體" w:eastAsia="標楷體" w:hAnsi="標楷體" w:hint="eastAsia"/>
                <w:sz w:val="24"/>
                <w:szCs w:val="24"/>
              </w:rPr>
              <w:t>修正條文</w:t>
            </w:r>
          </w:p>
        </w:tc>
        <w:tc>
          <w:tcPr>
            <w:tcW w:w="3213" w:type="dxa"/>
          </w:tcPr>
          <w:p w14:paraId="6745DC50" w14:textId="77777777" w:rsidR="00B76695" w:rsidRPr="005369F6" w:rsidRDefault="00B76695" w:rsidP="00C44E12">
            <w:pPr>
              <w:snapToGrid w:val="0"/>
              <w:spacing w:line="440" w:lineRule="exact"/>
              <w:jc w:val="center"/>
              <w:rPr>
                <w:rFonts w:ascii="標楷體" w:eastAsia="標楷體" w:hAnsi="標楷體"/>
                <w:sz w:val="24"/>
                <w:szCs w:val="24"/>
              </w:rPr>
            </w:pPr>
            <w:r w:rsidRPr="005369F6">
              <w:rPr>
                <w:rFonts w:ascii="標楷體" w:eastAsia="標楷體" w:hAnsi="標楷體" w:hint="eastAsia"/>
                <w:sz w:val="24"/>
                <w:szCs w:val="24"/>
              </w:rPr>
              <w:t>現行條文</w:t>
            </w:r>
          </w:p>
        </w:tc>
        <w:tc>
          <w:tcPr>
            <w:tcW w:w="3214" w:type="dxa"/>
          </w:tcPr>
          <w:p w14:paraId="7E21DE79" w14:textId="77777777" w:rsidR="00B76695" w:rsidRPr="005369F6" w:rsidRDefault="00B76695" w:rsidP="00C44E12">
            <w:pPr>
              <w:snapToGrid w:val="0"/>
              <w:spacing w:line="440" w:lineRule="exact"/>
              <w:jc w:val="center"/>
              <w:rPr>
                <w:rFonts w:ascii="標楷體" w:eastAsia="標楷體" w:hAnsi="標楷體"/>
                <w:sz w:val="24"/>
                <w:szCs w:val="24"/>
              </w:rPr>
            </w:pPr>
            <w:r w:rsidRPr="005369F6">
              <w:rPr>
                <w:rFonts w:ascii="標楷體" w:eastAsia="標楷體" w:hAnsi="標楷體" w:hint="eastAsia"/>
                <w:sz w:val="24"/>
                <w:szCs w:val="24"/>
              </w:rPr>
              <w:t>說明</w:t>
            </w:r>
          </w:p>
        </w:tc>
      </w:tr>
      <w:tr w:rsidR="00EA11D5" w:rsidRPr="00B4362B" w14:paraId="543EEB5C" w14:textId="77777777" w:rsidTr="00C44E12">
        <w:trPr>
          <w:jc w:val="center"/>
        </w:trPr>
        <w:tc>
          <w:tcPr>
            <w:tcW w:w="3213" w:type="dxa"/>
          </w:tcPr>
          <w:p w14:paraId="4CB8E710" w14:textId="77777777" w:rsidR="00EA11D5" w:rsidRDefault="00EA11D5" w:rsidP="00EA11D5">
            <w:pPr>
              <w:pStyle w:val="HTML"/>
              <w:snapToGrid w:val="0"/>
              <w:spacing w:after="0" w:line="360" w:lineRule="exact"/>
              <w:ind w:left="480" w:hangingChars="200" w:hanging="480"/>
              <w:jc w:val="both"/>
              <w:rPr>
                <w:rFonts w:ascii="標楷體" w:eastAsia="標楷體" w:hAnsi="標楷體"/>
                <w:color w:val="auto"/>
                <w:sz w:val="24"/>
              </w:rPr>
            </w:pPr>
            <w:r w:rsidRPr="00B76695">
              <w:rPr>
                <w:rFonts w:ascii="標楷體" w:eastAsia="標楷體" w:hAnsi="標楷體" w:hint="eastAsia"/>
                <w:color w:val="auto"/>
                <w:sz w:val="24"/>
              </w:rPr>
              <w:t>參、上櫃股票綜合交易帳戶申報作業</w:t>
            </w:r>
          </w:p>
          <w:p w14:paraId="6C8520AF" w14:textId="77777777" w:rsidR="00EA11D5" w:rsidRDefault="00EA11D5" w:rsidP="00EA11D5">
            <w:pPr>
              <w:pStyle w:val="HTML"/>
              <w:snapToGrid w:val="0"/>
              <w:spacing w:after="0" w:line="360" w:lineRule="exact"/>
              <w:ind w:left="480" w:hangingChars="200" w:hanging="480"/>
              <w:jc w:val="both"/>
              <w:rPr>
                <w:rFonts w:ascii="標楷體" w:eastAsia="標楷體" w:hAnsi="標楷體"/>
                <w:color w:val="auto"/>
                <w:sz w:val="24"/>
              </w:rPr>
            </w:pPr>
            <w:r w:rsidRPr="00B76695">
              <w:rPr>
                <w:rFonts w:ascii="標楷體" w:eastAsia="標楷體" w:hAnsi="標楷體" w:hint="eastAsia"/>
                <w:color w:val="auto"/>
                <w:sz w:val="24"/>
              </w:rPr>
              <w:t>一、交易作業</w:t>
            </w:r>
          </w:p>
          <w:p w14:paraId="4A43CB8A" w14:textId="3D5FDE71" w:rsidR="00EA11D5" w:rsidRDefault="005A427C" w:rsidP="00EA11D5">
            <w:pPr>
              <w:pStyle w:val="HTML"/>
              <w:snapToGrid w:val="0"/>
              <w:spacing w:after="0" w:line="360" w:lineRule="exact"/>
              <w:ind w:left="480" w:hangingChars="200" w:hanging="480"/>
              <w:rPr>
                <w:rFonts w:ascii="標楷體" w:eastAsia="標楷體" w:hAnsi="標楷體"/>
                <w:color w:val="auto"/>
                <w:sz w:val="24"/>
              </w:rPr>
            </w:pPr>
            <w:r>
              <w:rPr>
                <w:rFonts w:ascii="標楷體" w:eastAsia="標楷體" w:hAnsi="標楷體" w:hint="eastAsia"/>
                <w:color w:val="auto"/>
                <w:sz w:val="24"/>
              </w:rPr>
              <w:t>(</w:t>
            </w:r>
            <w:r w:rsidR="00EA11D5">
              <w:rPr>
                <w:rFonts w:ascii="標楷體" w:eastAsia="標楷體" w:hAnsi="標楷體" w:hint="eastAsia"/>
                <w:color w:val="auto"/>
                <w:sz w:val="24"/>
              </w:rPr>
              <w:t>(</w:t>
            </w:r>
            <w:proofErr w:type="gramStart"/>
            <w:r w:rsidR="00EA11D5">
              <w:rPr>
                <w:rFonts w:ascii="標楷體" w:eastAsia="標楷體" w:hAnsi="標楷體" w:hint="eastAsia"/>
                <w:color w:val="auto"/>
                <w:sz w:val="24"/>
              </w:rPr>
              <w:t>一</w:t>
            </w:r>
            <w:proofErr w:type="gramEnd"/>
            <w:r w:rsidR="00EA11D5">
              <w:rPr>
                <w:rFonts w:ascii="標楷體" w:eastAsia="標楷體" w:hAnsi="標楷體" w:hint="eastAsia"/>
                <w:color w:val="auto"/>
                <w:sz w:val="24"/>
              </w:rPr>
              <w:t>)至(五)</w:t>
            </w:r>
            <w:r>
              <w:rPr>
                <w:rFonts w:ascii="標楷體" w:eastAsia="標楷體" w:hAnsi="標楷體" w:hint="eastAsia"/>
                <w:color w:val="auto"/>
                <w:sz w:val="24"/>
              </w:rPr>
              <w:t>未修正，</w:t>
            </w:r>
            <w:r w:rsidR="00EA11D5">
              <w:rPr>
                <w:rFonts w:ascii="標楷體" w:eastAsia="標楷體" w:hAnsi="標楷體" w:hint="eastAsia"/>
                <w:color w:val="auto"/>
                <w:sz w:val="24"/>
              </w:rPr>
              <w:t>略</w:t>
            </w:r>
            <w:r>
              <w:rPr>
                <w:rFonts w:ascii="標楷體" w:eastAsia="標楷體" w:hAnsi="標楷體" w:hint="eastAsia"/>
                <w:color w:val="auto"/>
                <w:sz w:val="24"/>
              </w:rPr>
              <w:t>)</w:t>
            </w:r>
          </w:p>
          <w:p w14:paraId="431BBDC4" w14:textId="56455878" w:rsidR="00EA11D5" w:rsidRDefault="00EA11D5" w:rsidP="008F6588">
            <w:pPr>
              <w:pStyle w:val="HTML"/>
              <w:snapToGrid w:val="0"/>
              <w:spacing w:after="0" w:line="360" w:lineRule="exact"/>
              <w:ind w:left="480" w:hangingChars="200" w:hanging="480"/>
              <w:jc w:val="both"/>
              <w:rPr>
                <w:rFonts w:ascii="標楷體" w:eastAsia="標楷體" w:hAnsi="標楷體"/>
                <w:color w:val="auto"/>
                <w:sz w:val="24"/>
              </w:rPr>
            </w:pPr>
            <w:r>
              <w:rPr>
                <w:rFonts w:ascii="標楷體" w:eastAsia="標楷體" w:hAnsi="標楷體" w:hint="eastAsia"/>
                <w:color w:val="auto"/>
                <w:sz w:val="24"/>
              </w:rPr>
              <w:t>(六)</w:t>
            </w:r>
            <w:r w:rsidRPr="00DF2EBA">
              <w:rPr>
                <w:rFonts w:ascii="標楷體" w:eastAsia="標楷體" w:hAnsi="標楷體" w:hint="eastAsia"/>
                <w:color w:val="auto"/>
                <w:sz w:val="24"/>
              </w:rPr>
              <w:t>證券商受託以綜合交易帳戶買賣之有價證券，有依規定須預收部分或全部之價金或有價證券時，由受任人自行控管並向各委託人收取後交付於證券商</w:t>
            </w:r>
            <w:r w:rsidR="00F03CA3" w:rsidRPr="002E1C0B">
              <w:rPr>
                <w:rFonts w:ascii="標楷體" w:eastAsia="標楷體" w:hAnsi="標楷體" w:hint="eastAsia"/>
                <w:color w:val="auto"/>
                <w:sz w:val="24"/>
                <w:u w:val="single"/>
              </w:rPr>
              <w:t>，</w:t>
            </w:r>
            <w:r w:rsidR="008C602C" w:rsidRPr="002E1C0B">
              <w:rPr>
                <w:rFonts w:ascii="標楷體" w:eastAsia="標楷體" w:hAnsi="標楷體" w:hint="eastAsia"/>
                <w:color w:val="auto"/>
                <w:sz w:val="24"/>
                <w:u w:val="single"/>
              </w:rPr>
              <w:t>或證券商</w:t>
            </w:r>
            <w:r w:rsidR="00352F50" w:rsidRPr="002E1C0B">
              <w:rPr>
                <w:rFonts w:ascii="標楷體" w:eastAsia="標楷體" w:hAnsi="標楷體" w:hint="eastAsia"/>
                <w:color w:val="auto"/>
                <w:sz w:val="24"/>
                <w:u w:val="single"/>
              </w:rPr>
              <w:t>依本中心「櫃檯買賣證券經紀商受託買賣預收款</w:t>
            </w:r>
            <w:proofErr w:type="gramStart"/>
            <w:r w:rsidR="00352F50" w:rsidRPr="002E1C0B">
              <w:rPr>
                <w:rFonts w:ascii="標楷體" w:eastAsia="標楷體" w:hAnsi="標楷體" w:hint="eastAsia"/>
                <w:color w:val="auto"/>
                <w:sz w:val="24"/>
                <w:u w:val="single"/>
              </w:rPr>
              <w:t>券</w:t>
            </w:r>
            <w:proofErr w:type="gramEnd"/>
            <w:r w:rsidR="00352F50" w:rsidRPr="002E1C0B">
              <w:rPr>
                <w:rFonts w:ascii="標楷體" w:eastAsia="標楷體" w:hAnsi="標楷體" w:hint="eastAsia"/>
                <w:color w:val="auto"/>
                <w:sz w:val="24"/>
                <w:u w:val="single"/>
              </w:rPr>
              <w:t>有價證券應行注意事項」第二點第三項</w:t>
            </w:r>
            <w:r w:rsidR="00E04790" w:rsidRPr="002E1C0B">
              <w:rPr>
                <w:rFonts w:ascii="標楷體" w:eastAsia="標楷體" w:hAnsi="標楷體" w:hint="eastAsia"/>
                <w:color w:val="auto"/>
                <w:sz w:val="24"/>
                <w:u w:val="single"/>
              </w:rPr>
              <w:t>規定</w:t>
            </w:r>
            <w:r w:rsidR="00352F50" w:rsidRPr="002E1C0B">
              <w:rPr>
                <w:rFonts w:ascii="標楷體" w:eastAsia="標楷體" w:hAnsi="標楷體" w:hint="eastAsia"/>
                <w:color w:val="auto"/>
                <w:sz w:val="24"/>
                <w:u w:val="single"/>
              </w:rPr>
              <w:t>辦理。</w:t>
            </w:r>
          </w:p>
          <w:p w14:paraId="15A040BB" w14:textId="54B314CC" w:rsidR="00EA11D5" w:rsidRPr="00D10988" w:rsidRDefault="008F6588" w:rsidP="00EA11D5">
            <w:pPr>
              <w:pStyle w:val="HTML"/>
              <w:tabs>
                <w:tab w:val="clear" w:pos="1832"/>
              </w:tabs>
              <w:snapToGrid w:val="0"/>
              <w:spacing w:after="0" w:line="360" w:lineRule="exact"/>
              <w:ind w:leftChars="200" w:left="440"/>
              <w:jc w:val="both"/>
              <w:rPr>
                <w:rFonts w:ascii="標楷體" w:eastAsia="標楷體" w:hAnsi="標楷體"/>
                <w:color w:val="auto"/>
                <w:sz w:val="24"/>
                <w:u w:val="single"/>
              </w:rPr>
            </w:pPr>
            <w:r>
              <w:rPr>
                <w:rFonts w:ascii="標楷體" w:eastAsia="標楷體" w:hAnsi="標楷體" w:hint="eastAsia"/>
                <w:color w:val="auto"/>
                <w:sz w:val="24"/>
              </w:rPr>
              <w:t>（以下未修正，</w:t>
            </w:r>
            <w:r w:rsidR="00EA11D5">
              <w:rPr>
                <w:rFonts w:ascii="標楷體" w:eastAsia="標楷體" w:hAnsi="標楷體" w:hint="eastAsia"/>
                <w:color w:val="auto"/>
                <w:sz w:val="24"/>
              </w:rPr>
              <w:t>略</w:t>
            </w:r>
            <w:r>
              <w:rPr>
                <w:rFonts w:ascii="標楷體" w:eastAsia="標楷體" w:hAnsi="標楷體" w:hint="eastAsia"/>
                <w:color w:val="auto"/>
                <w:sz w:val="24"/>
              </w:rPr>
              <w:t>）</w:t>
            </w:r>
          </w:p>
        </w:tc>
        <w:tc>
          <w:tcPr>
            <w:tcW w:w="3213" w:type="dxa"/>
          </w:tcPr>
          <w:p w14:paraId="0C9EB952" w14:textId="77777777" w:rsidR="00EA11D5" w:rsidRDefault="00EA11D5" w:rsidP="00EA11D5">
            <w:pPr>
              <w:pStyle w:val="HTML"/>
              <w:snapToGrid w:val="0"/>
              <w:spacing w:after="0" w:line="360" w:lineRule="exact"/>
              <w:ind w:left="480" w:hangingChars="200" w:hanging="480"/>
              <w:jc w:val="both"/>
              <w:rPr>
                <w:rFonts w:ascii="標楷體" w:eastAsia="標楷體" w:hAnsi="標楷體"/>
                <w:color w:val="auto"/>
                <w:sz w:val="24"/>
              </w:rPr>
            </w:pPr>
            <w:r w:rsidRPr="00B76695">
              <w:rPr>
                <w:rFonts w:ascii="標楷體" w:eastAsia="標楷體" w:hAnsi="標楷體" w:hint="eastAsia"/>
                <w:color w:val="auto"/>
                <w:sz w:val="24"/>
              </w:rPr>
              <w:t>參、上櫃股票綜合交易帳戶申報作業</w:t>
            </w:r>
          </w:p>
          <w:p w14:paraId="421F1F28" w14:textId="77777777" w:rsidR="00EA11D5" w:rsidRDefault="00EA11D5" w:rsidP="00EA11D5">
            <w:pPr>
              <w:pStyle w:val="HTML"/>
              <w:snapToGrid w:val="0"/>
              <w:spacing w:after="0" w:line="360" w:lineRule="exact"/>
              <w:ind w:left="480" w:hangingChars="200" w:hanging="480"/>
              <w:jc w:val="both"/>
              <w:rPr>
                <w:rFonts w:ascii="標楷體" w:eastAsia="標楷體" w:hAnsi="標楷體"/>
                <w:color w:val="auto"/>
                <w:sz w:val="24"/>
              </w:rPr>
            </w:pPr>
            <w:r w:rsidRPr="00B76695">
              <w:rPr>
                <w:rFonts w:ascii="標楷體" w:eastAsia="標楷體" w:hAnsi="標楷體" w:hint="eastAsia"/>
                <w:color w:val="auto"/>
                <w:sz w:val="24"/>
              </w:rPr>
              <w:t>一、交易作業</w:t>
            </w:r>
          </w:p>
          <w:p w14:paraId="0326F8D0" w14:textId="21E56FA4" w:rsidR="00EA11D5" w:rsidRDefault="005A427C" w:rsidP="00EA11D5">
            <w:pPr>
              <w:pStyle w:val="HTML"/>
              <w:snapToGrid w:val="0"/>
              <w:spacing w:after="0" w:line="360" w:lineRule="exact"/>
              <w:ind w:left="480" w:hangingChars="200" w:hanging="480"/>
              <w:rPr>
                <w:rFonts w:ascii="標楷體" w:eastAsia="標楷體" w:hAnsi="標楷體"/>
                <w:color w:val="auto"/>
                <w:sz w:val="24"/>
              </w:rPr>
            </w:pPr>
            <w:r>
              <w:rPr>
                <w:rFonts w:ascii="標楷體" w:eastAsia="標楷體" w:hAnsi="標楷體" w:hint="eastAsia"/>
                <w:color w:val="auto"/>
                <w:sz w:val="24"/>
              </w:rPr>
              <w:t>((</w:t>
            </w:r>
            <w:proofErr w:type="gramStart"/>
            <w:r>
              <w:rPr>
                <w:rFonts w:ascii="標楷體" w:eastAsia="標楷體" w:hAnsi="標楷體" w:hint="eastAsia"/>
                <w:color w:val="auto"/>
                <w:sz w:val="24"/>
              </w:rPr>
              <w:t>一</w:t>
            </w:r>
            <w:proofErr w:type="gramEnd"/>
            <w:r>
              <w:rPr>
                <w:rFonts w:ascii="標楷體" w:eastAsia="標楷體" w:hAnsi="標楷體" w:hint="eastAsia"/>
                <w:color w:val="auto"/>
                <w:sz w:val="24"/>
              </w:rPr>
              <w:t>)至(五)未修正，略)</w:t>
            </w:r>
          </w:p>
          <w:p w14:paraId="1D471063" w14:textId="1646DC57" w:rsidR="008D6EC3" w:rsidRDefault="00EA11D5" w:rsidP="009A7751">
            <w:pPr>
              <w:pStyle w:val="HTML"/>
              <w:snapToGrid w:val="0"/>
              <w:spacing w:after="0" w:line="360" w:lineRule="exact"/>
              <w:ind w:left="480" w:hangingChars="200" w:hanging="480"/>
              <w:jc w:val="both"/>
              <w:rPr>
                <w:rFonts w:ascii="標楷體" w:eastAsia="標楷體" w:hAnsi="標楷體"/>
                <w:color w:val="auto"/>
                <w:sz w:val="24"/>
              </w:rPr>
            </w:pPr>
            <w:r>
              <w:rPr>
                <w:rFonts w:ascii="標楷體" w:eastAsia="標楷體" w:hAnsi="標楷體" w:hint="eastAsia"/>
                <w:color w:val="auto"/>
                <w:sz w:val="24"/>
              </w:rPr>
              <w:t>(六)</w:t>
            </w:r>
            <w:r w:rsidRPr="00DF2EBA">
              <w:rPr>
                <w:rFonts w:ascii="標楷體" w:eastAsia="標楷體" w:hAnsi="標楷體" w:hint="eastAsia"/>
                <w:color w:val="auto"/>
                <w:sz w:val="24"/>
              </w:rPr>
              <w:t>證券商受託以綜合交易帳戶買賣之有價證券，有依規定須預收部分或全部之價金或有價證券時，由受任人自行控管並向各委託人收取後交付於證券商。</w:t>
            </w:r>
          </w:p>
          <w:p w14:paraId="377FBDB0" w14:textId="3A9CD8BD" w:rsidR="009A7751" w:rsidRDefault="009A7751" w:rsidP="009A7751">
            <w:pPr>
              <w:pStyle w:val="HTML"/>
              <w:snapToGrid w:val="0"/>
              <w:spacing w:after="0" w:line="360" w:lineRule="exact"/>
              <w:ind w:left="480" w:hangingChars="200" w:hanging="480"/>
              <w:jc w:val="both"/>
              <w:rPr>
                <w:rFonts w:ascii="標楷體" w:eastAsia="標楷體" w:hAnsi="標楷體"/>
                <w:color w:val="auto"/>
                <w:sz w:val="24"/>
              </w:rPr>
            </w:pPr>
          </w:p>
          <w:p w14:paraId="2E338F4C" w14:textId="0B0D18C6" w:rsidR="009A7751" w:rsidRDefault="009A7751" w:rsidP="009A7751">
            <w:pPr>
              <w:pStyle w:val="HTML"/>
              <w:snapToGrid w:val="0"/>
              <w:spacing w:after="0" w:line="360" w:lineRule="exact"/>
              <w:ind w:left="480" w:hangingChars="200" w:hanging="480"/>
              <w:jc w:val="both"/>
              <w:rPr>
                <w:rFonts w:ascii="標楷體" w:eastAsia="標楷體" w:hAnsi="標楷體"/>
                <w:color w:val="auto"/>
                <w:sz w:val="24"/>
              </w:rPr>
            </w:pPr>
          </w:p>
          <w:p w14:paraId="107C2652" w14:textId="05D6C8B9" w:rsidR="009A7751" w:rsidRDefault="009A7751" w:rsidP="009A7751">
            <w:pPr>
              <w:pStyle w:val="HTML"/>
              <w:snapToGrid w:val="0"/>
              <w:spacing w:after="0" w:line="360" w:lineRule="exact"/>
              <w:ind w:left="480" w:hangingChars="200" w:hanging="480"/>
              <w:jc w:val="both"/>
              <w:rPr>
                <w:rFonts w:ascii="標楷體" w:eastAsia="標楷體" w:hAnsi="標楷體"/>
                <w:color w:val="auto"/>
                <w:sz w:val="24"/>
              </w:rPr>
            </w:pPr>
          </w:p>
          <w:p w14:paraId="1BDF05C6" w14:textId="55ED48FB" w:rsidR="009A7751" w:rsidRDefault="009A7751" w:rsidP="009A7751">
            <w:pPr>
              <w:pStyle w:val="HTML"/>
              <w:snapToGrid w:val="0"/>
              <w:spacing w:after="0" w:line="360" w:lineRule="exact"/>
              <w:ind w:left="480" w:hangingChars="200" w:hanging="480"/>
              <w:jc w:val="both"/>
              <w:rPr>
                <w:rFonts w:ascii="標楷體" w:eastAsia="標楷體" w:hAnsi="標楷體"/>
                <w:color w:val="auto"/>
                <w:sz w:val="24"/>
              </w:rPr>
            </w:pPr>
          </w:p>
          <w:p w14:paraId="17EF66BE" w14:textId="77777777" w:rsidR="008F6588" w:rsidRDefault="008F6588" w:rsidP="00E40EF9">
            <w:pPr>
              <w:pStyle w:val="HTML"/>
              <w:snapToGrid w:val="0"/>
              <w:spacing w:after="0" w:line="360" w:lineRule="exact"/>
              <w:ind w:left="480" w:hangingChars="200" w:hanging="480"/>
              <w:rPr>
                <w:rFonts w:ascii="標楷體" w:eastAsia="標楷體" w:hAnsi="標楷體"/>
                <w:color w:val="auto"/>
                <w:sz w:val="24"/>
              </w:rPr>
            </w:pPr>
          </w:p>
          <w:p w14:paraId="3D225885" w14:textId="79F8B134" w:rsidR="008D6EC3" w:rsidRPr="00DF595A" w:rsidRDefault="008F6588" w:rsidP="00E40EF9">
            <w:pPr>
              <w:pStyle w:val="HTML"/>
              <w:snapToGrid w:val="0"/>
              <w:spacing w:after="0" w:line="360" w:lineRule="exact"/>
              <w:ind w:left="480" w:hangingChars="200" w:hanging="480"/>
              <w:rPr>
                <w:rFonts w:ascii="標楷體" w:eastAsia="標楷體" w:hAnsi="標楷體"/>
                <w:color w:val="auto"/>
                <w:sz w:val="24"/>
              </w:rPr>
            </w:pPr>
            <w:r>
              <w:rPr>
                <w:rFonts w:ascii="標楷體" w:eastAsia="標楷體" w:hAnsi="標楷體" w:hint="eastAsia"/>
                <w:color w:val="auto"/>
                <w:sz w:val="24"/>
              </w:rPr>
              <w:t>（以下未修正，略）</w:t>
            </w:r>
          </w:p>
        </w:tc>
        <w:tc>
          <w:tcPr>
            <w:tcW w:w="3214" w:type="dxa"/>
          </w:tcPr>
          <w:p w14:paraId="69AAB06B" w14:textId="76E15A5B" w:rsidR="00EA11D5" w:rsidRPr="00ED6367" w:rsidRDefault="008D6EC3" w:rsidP="008D6EC3">
            <w:pPr>
              <w:pStyle w:val="HTML"/>
              <w:snapToGrid w:val="0"/>
              <w:spacing w:after="0" w:line="360" w:lineRule="exact"/>
              <w:ind w:firstLineChars="200" w:firstLine="480"/>
              <w:jc w:val="both"/>
              <w:rPr>
                <w:rFonts w:ascii="標楷體" w:eastAsia="標楷體" w:hAnsi="標楷體"/>
                <w:color w:val="auto"/>
                <w:sz w:val="24"/>
                <w:lang w:eastAsia="zh-HK"/>
              </w:rPr>
            </w:pPr>
            <w:r>
              <w:rPr>
                <w:rFonts w:ascii="標楷體" w:eastAsia="標楷體" w:hAnsi="標楷體" w:hint="eastAsia"/>
                <w:color w:val="auto"/>
                <w:sz w:val="24"/>
                <w:lang w:eastAsia="zh-HK"/>
              </w:rPr>
              <w:t>配合</w:t>
            </w:r>
            <w:r w:rsidRPr="008D6EC3">
              <w:rPr>
                <w:rFonts w:ascii="標楷體" w:eastAsia="標楷體" w:hAnsi="標楷體" w:hint="eastAsia"/>
                <w:color w:val="auto"/>
                <w:sz w:val="24"/>
                <w:lang w:eastAsia="zh-HK"/>
              </w:rPr>
              <w:t>本中心「櫃檯買賣證券經紀商受託買賣預收款券有價證券應行注意事項」第</w:t>
            </w:r>
            <w:r w:rsidR="002E7057">
              <w:rPr>
                <w:rFonts w:ascii="標楷體" w:eastAsia="標楷體" w:hAnsi="標楷體" w:hint="eastAsia"/>
                <w:color w:val="auto"/>
                <w:sz w:val="24"/>
              </w:rPr>
              <w:t>2</w:t>
            </w:r>
            <w:r w:rsidRPr="008D6EC3">
              <w:rPr>
                <w:rFonts w:ascii="標楷體" w:eastAsia="標楷體" w:hAnsi="標楷體" w:hint="eastAsia"/>
                <w:color w:val="auto"/>
                <w:sz w:val="24"/>
                <w:lang w:eastAsia="zh-HK"/>
              </w:rPr>
              <w:t>點</w:t>
            </w:r>
            <w:r>
              <w:rPr>
                <w:rFonts w:ascii="標楷體" w:eastAsia="標楷體" w:hAnsi="標楷體" w:hint="eastAsia"/>
                <w:color w:val="auto"/>
                <w:sz w:val="24"/>
                <w:lang w:eastAsia="zh-HK"/>
              </w:rPr>
              <w:t>新增</w:t>
            </w:r>
            <w:r w:rsidR="00EA11D5" w:rsidRPr="008B60D5">
              <w:rPr>
                <w:rFonts w:ascii="標楷體" w:eastAsia="標楷體" w:hAnsi="標楷體" w:hint="eastAsia"/>
                <w:color w:val="auto"/>
                <w:sz w:val="24"/>
                <w:lang w:eastAsia="zh-HK"/>
              </w:rPr>
              <w:t>第</w:t>
            </w:r>
            <w:r w:rsidR="00EA11D5">
              <w:rPr>
                <w:rFonts w:ascii="標楷體" w:eastAsia="標楷體" w:hAnsi="標楷體" w:hint="eastAsia"/>
                <w:color w:val="auto"/>
                <w:sz w:val="24"/>
              </w:rPr>
              <w:t>3</w:t>
            </w:r>
            <w:r w:rsidR="00EA11D5" w:rsidRPr="008B60D5">
              <w:rPr>
                <w:rFonts w:ascii="標楷體" w:eastAsia="標楷體" w:hAnsi="標楷體" w:hint="eastAsia"/>
                <w:color w:val="auto"/>
                <w:sz w:val="24"/>
                <w:lang w:eastAsia="zh-HK"/>
              </w:rPr>
              <w:t>項</w:t>
            </w:r>
            <w:r w:rsidR="00EA11D5">
              <w:rPr>
                <w:rFonts w:ascii="標楷體" w:eastAsia="標楷體" w:hAnsi="標楷體" w:hint="eastAsia"/>
                <w:color w:val="auto"/>
                <w:sz w:val="24"/>
              </w:rPr>
              <w:t>，</w:t>
            </w:r>
            <w:r>
              <w:rPr>
                <w:rFonts w:ascii="標楷體" w:eastAsia="標楷體" w:hAnsi="標楷體" w:hint="eastAsia"/>
                <w:color w:val="auto"/>
                <w:sz w:val="24"/>
              </w:rPr>
              <w:t>爰配合</w:t>
            </w:r>
            <w:r w:rsidR="00AE4E13">
              <w:rPr>
                <w:rFonts w:ascii="標楷體" w:eastAsia="標楷體" w:hAnsi="標楷體" w:hint="eastAsia"/>
                <w:color w:val="auto"/>
                <w:sz w:val="24"/>
              </w:rPr>
              <w:t>修</w:t>
            </w:r>
            <w:r w:rsidR="008F6588">
              <w:rPr>
                <w:rFonts w:ascii="標楷體" w:eastAsia="標楷體" w:hAnsi="標楷體" w:hint="eastAsia"/>
                <w:color w:val="auto"/>
                <w:sz w:val="24"/>
              </w:rPr>
              <w:t>正</w:t>
            </w:r>
            <w:r>
              <w:rPr>
                <w:rFonts w:ascii="標楷體" w:eastAsia="標楷體" w:hAnsi="標楷體" w:hint="eastAsia"/>
                <w:color w:val="auto"/>
                <w:sz w:val="24"/>
              </w:rPr>
              <w:t>本</w:t>
            </w:r>
            <w:r w:rsidR="00024AB7">
              <w:rPr>
                <w:rFonts w:ascii="標楷體" w:eastAsia="標楷體" w:hAnsi="標楷體" w:hint="eastAsia"/>
                <w:color w:val="auto"/>
                <w:sz w:val="24"/>
              </w:rPr>
              <w:t>點</w:t>
            </w:r>
            <w:r w:rsidR="00C450BD">
              <w:rPr>
                <w:rFonts w:ascii="標楷體" w:eastAsia="標楷體" w:hAnsi="標楷體" w:hint="eastAsia"/>
                <w:color w:val="auto"/>
                <w:sz w:val="24"/>
              </w:rPr>
              <w:t>第1項</w:t>
            </w:r>
            <w:r>
              <w:rPr>
                <w:rFonts w:ascii="標楷體" w:eastAsia="標楷體" w:hAnsi="標楷體" w:hint="eastAsia"/>
                <w:color w:val="auto"/>
                <w:sz w:val="24"/>
              </w:rPr>
              <w:t>第6</w:t>
            </w:r>
            <w:r w:rsidR="00024AB7">
              <w:rPr>
                <w:rFonts w:ascii="標楷體" w:eastAsia="標楷體" w:hAnsi="標楷體" w:hint="eastAsia"/>
                <w:color w:val="auto"/>
                <w:sz w:val="24"/>
              </w:rPr>
              <w:t>款</w:t>
            </w:r>
            <w:r>
              <w:rPr>
                <w:rFonts w:ascii="標楷體" w:eastAsia="標楷體" w:hAnsi="標楷體" w:hint="eastAsia"/>
                <w:color w:val="auto"/>
                <w:sz w:val="24"/>
              </w:rPr>
              <w:t>規定。</w:t>
            </w:r>
          </w:p>
        </w:tc>
      </w:tr>
    </w:tbl>
    <w:p w14:paraId="2979DD3F" w14:textId="77777777" w:rsidR="002E7604" w:rsidRPr="00B76695" w:rsidRDefault="002E7604" w:rsidP="00285ADE">
      <w:pPr>
        <w:spacing w:line="440" w:lineRule="exact"/>
        <w:rPr>
          <w:rFonts w:ascii="標楷體" w:eastAsia="標楷體" w:hAnsi="標楷體"/>
          <w:b/>
          <w:bCs/>
          <w:sz w:val="32"/>
          <w:szCs w:val="32"/>
        </w:rPr>
      </w:pPr>
    </w:p>
    <w:sectPr w:rsidR="002E7604" w:rsidRPr="00B76695" w:rsidSect="00164091">
      <w:footerReference w:type="default" r:id="rId8"/>
      <w:footerReference w:type="first" r:id="rId9"/>
      <w:pgSz w:w="11906" w:h="16838"/>
      <w:pgMar w:top="1440" w:right="1701" w:bottom="1440"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8ECA" w14:textId="77777777" w:rsidR="002E2B99" w:rsidRDefault="002E2B99" w:rsidP="00505ACC">
      <w:r>
        <w:separator/>
      </w:r>
    </w:p>
  </w:endnote>
  <w:endnote w:type="continuationSeparator" w:id="0">
    <w:p w14:paraId="53A2734F" w14:textId="77777777" w:rsidR="002E2B99" w:rsidRDefault="002E2B99" w:rsidP="0050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315025"/>
      <w:docPartObj>
        <w:docPartGallery w:val="Page Numbers (Bottom of Page)"/>
        <w:docPartUnique/>
      </w:docPartObj>
    </w:sdtPr>
    <w:sdtContent>
      <w:p w14:paraId="3CFEDE05" w14:textId="24A39823" w:rsidR="00863AC9" w:rsidRDefault="00863AC9">
        <w:pPr>
          <w:pStyle w:val="a6"/>
          <w:jc w:val="center"/>
        </w:pPr>
        <w:r>
          <w:fldChar w:fldCharType="begin"/>
        </w:r>
        <w:r>
          <w:instrText>PAGE   \* MERGEFORMAT</w:instrText>
        </w:r>
        <w:r>
          <w:fldChar w:fldCharType="separate"/>
        </w:r>
        <w:r>
          <w:rPr>
            <w:lang w:val="zh-TW"/>
          </w:rPr>
          <w:t>2</w:t>
        </w:r>
        <w:r>
          <w:fldChar w:fldCharType="end"/>
        </w:r>
      </w:p>
    </w:sdtContent>
  </w:sdt>
  <w:p w14:paraId="50431E8B" w14:textId="77777777" w:rsidR="00863AC9" w:rsidRDefault="00863A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917763"/>
      <w:docPartObj>
        <w:docPartGallery w:val="Page Numbers (Bottom of Page)"/>
        <w:docPartUnique/>
      </w:docPartObj>
    </w:sdtPr>
    <w:sdtContent>
      <w:p w14:paraId="32184A79" w14:textId="77777777" w:rsidR="00164091" w:rsidRDefault="00164091" w:rsidP="00164091">
        <w:pPr>
          <w:pStyle w:val="a6"/>
          <w:jc w:val="center"/>
        </w:pPr>
        <w:r>
          <w:fldChar w:fldCharType="begin"/>
        </w:r>
        <w:r>
          <w:instrText>PAGE   \* MERGEFORMAT</w:instrText>
        </w:r>
        <w:r>
          <w:fldChar w:fldCharType="separate"/>
        </w:r>
        <w:r>
          <w:rPr>
            <w:lang w:val="zh-TW"/>
          </w:rPr>
          <w:t>2</w:t>
        </w:r>
        <w:r>
          <w:fldChar w:fldCharType="end"/>
        </w:r>
      </w:p>
    </w:sdtContent>
  </w:sdt>
  <w:p w14:paraId="2829702E" w14:textId="77777777" w:rsidR="00863AC9" w:rsidRDefault="00863A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0A9D" w14:textId="77777777" w:rsidR="002E2B99" w:rsidRDefault="002E2B99" w:rsidP="00505ACC">
      <w:r>
        <w:separator/>
      </w:r>
    </w:p>
  </w:footnote>
  <w:footnote w:type="continuationSeparator" w:id="0">
    <w:p w14:paraId="7283D897" w14:textId="77777777" w:rsidR="002E2B99" w:rsidRDefault="002E2B99" w:rsidP="00505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695"/>
    <w:multiLevelType w:val="hybridMultilevel"/>
    <w:tmpl w:val="AE2418E4"/>
    <w:lvl w:ilvl="0" w:tplc="FA7E6394">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932118"/>
    <w:multiLevelType w:val="hybridMultilevel"/>
    <w:tmpl w:val="02945856"/>
    <w:lvl w:ilvl="0" w:tplc="5B82ECDA">
      <w:start w:val="2"/>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6D63D9"/>
    <w:multiLevelType w:val="hybridMultilevel"/>
    <w:tmpl w:val="689A4650"/>
    <w:lvl w:ilvl="0" w:tplc="C032E7CC">
      <w:start w:val="1"/>
      <w:numFmt w:val="taiwaneseCountingThousand"/>
      <w:lvlText w:val="%1、"/>
      <w:lvlJc w:val="left"/>
      <w:pPr>
        <w:ind w:left="500" w:hanging="50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F47D69"/>
    <w:multiLevelType w:val="hybridMultilevel"/>
    <w:tmpl w:val="30C0866E"/>
    <w:lvl w:ilvl="0" w:tplc="9EDA8998">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3C36F8"/>
    <w:multiLevelType w:val="hybridMultilevel"/>
    <w:tmpl w:val="8DEAB3B8"/>
    <w:lvl w:ilvl="0" w:tplc="D4124FF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CA3BA2"/>
    <w:multiLevelType w:val="hybridMultilevel"/>
    <w:tmpl w:val="4698A222"/>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666C0B8E"/>
    <w:multiLevelType w:val="hybridMultilevel"/>
    <w:tmpl w:val="10F8387E"/>
    <w:lvl w:ilvl="0" w:tplc="B4CA387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19490A"/>
    <w:multiLevelType w:val="hybridMultilevel"/>
    <w:tmpl w:val="7B18A3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95086637">
    <w:abstractNumId w:val="3"/>
  </w:num>
  <w:num w:numId="2" w16cid:durableId="1338583876">
    <w:abstractNumId w:val="5"/>
  </w:num>
  <w:num w:numId="3" w16cid:durableId="1668900532">
    <w:abstractNumId w:val="4"/>
  </w:num>
  <w:num w:numId="4" w16cid:durableId="1177189489">
    <w:abstractNumId w:val="6"/>
  </w:num>
  <w:num w:numId="5" w16cid:durableId="368147493">
    <w:abstractNumId w:val="1"/>
  </w:num>
  <w:num w:numId="6" w16cid:durableId="442194024">
    <w:abstractNumId w:val="0"/>
  </w:num>
  <w:num w:numId="7" w16cid:durableId="1186871856">
    <w:abstractNumId w:val="2"/>
  </w:num>
  <w:num w:numId="8" w16cid:durableId="370888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A46"/>
    <w:rsid w:val="000003CE"/>
    <w:rsid w:val="00000FE4"/>
    <w:rsid w:val="0000202A"/>
    <w:rsid w:val="0001089C"/>
    <w:rsid w:val="00012754"/>
    <w:rsid w:val="000129A9"/>
    <w:rsid w:val="00012A27"/>
    <w:rsid w:val="00013F92"/>
    <w:rsid w:val="00016A7C"/>
    <w:rsid w:val="00020AFD"/>
    <w:rsid w:val="00021FA0"/>
    <w:rsid w:val="000221F4"/>
    <w:rsid w:val="00024AB7"/>
    <w:rsid w:val="00044A03"/>
    <w:rsid w:val="000455A4"/>
    <w:rsid w:val="00045B32"/>
    <w:rsid w:val="000507B1"/>
    <w:rsid w:val="000535A7"/>
    <w:rsid w:val="00054699"/>
    <w:rsid w:val="00055929"/>
    <w:rsid w:val="00056C92"/>
    <w:rsid w:val="00062626"/>
    <w:rsid w:val="00070083"/>
    <w:rsid w:val="0007194D"/>
    <w:rsid w:val="00074CD5"/>
    <w:rsid w:val="00074D5E"/>
    <w:rsid w:val="00081B97"/>
    <w:rsid w:val="00083C36"/>
    <w:rsid w:val="00084DE5"/>
    <w:rsid w:val="00090DE1"/>
    <w:rsid w:val="000928B5"/>
    <w:rsid w:val="00092B33"/>
    <w:rsid w:val="00092D63"/>
    <w:rsid w:val="000A0B92"/>
    <w:rsid w:val="000A456F"/>
    <w:rsid w:val="000A4CB8"/>
    <w:rsid w:val="000A4EE7"/>
    <w:rsid w:val="000A51B4"/>
    <w:rsid w:val="000A71CA"/>
    <w:rsid w:val="000A77ED"/>
    <w:rsid w:val="000A7F41"/>
    <w:rsid w:val="000B6C5C"/>
    <w:rsid w:val="000C3074"/>
    <w:rsid w:val="000C606E"/>
    <w:rsid w:val="000C7AC5"/>
    <w:rsid w:val="000D03B3"/>
    <w:rsid w:val="000E20E2"/>
    <w:rsid w:val="000E2DE8"/>
    <w:rsid w:val="000E355C"/>
    <w:rsid w:val="000E53C1"/>
    <w:rsid w:val="000E5AA5"/>
    <w:rsid w:val="000F076B"/>
    <w:rsid w:val="000F24E3"/>
    <w:rsid w:val="000F59D1"/>
    <w:rsid w:val="000F793A"/>
    <w:rsid w:val="00100A86"/>
    <w:rsid w:val="001050E0"/>
    <w:rsid w:val="00116771"/>
    <w:rsid w:val="00116908"/>
    <w:rsid w:val="001206F5"/>
    <w:rsid w:val="00122F3E"/>
    <w:rsid w:val="001346E7"/>
    <w:rsid w:val="00134D31"/>
    <w:rsid w:val="00136C64"/>
    <w:rsid w:val="001424D9"/>
    <w:rsid w:val="00142799"/>
    <w:rsid w:val="00150F0F"/>
    <w:rsid w:val="0015139B"/>
    <w:rsid w:val="00153197"/>
    <w:rsid w:val="0015781C"/>
    <w:rsid w:val="00157963"/>
    <w:rsid w:val="00157AA4"/>
    <w:rsid w:val="00160FF7"/>
    <w:rsid w:val="00162368"/>
    <w:rsid w:val="00162ECC"/>
    <w:rsid w:val="00164091"/>
    <w:rsid w:val="001641D1"/>
    <w:rsid w:val="00170672"/>
    <w:rsid w:val="00173DEF"/>
    <w:rsid w:val="00181091"/>
    <w:rsid w:val="00181F3E"/>
    <w:rsid w:val="001857A4"/>
    <w:rsid w:val="001862E1"/>
    <w:rsid w:val="00186F0F"/>
    <w:rsid w:val="001877D3"/>
    <w:rsid w:val="0019398D"/>
    <w:rsid w:val="00193F83"/>
    <w:rsid w:val="00194CB1"/>
    <w:rsid w:val="00196B74"/>
    <w:rsid w:val="001970CE"/>
    <w:rsid w:val="001A0C2D"/>
    <w:rsid w:val="001A55BC"/>
    <w:rsid w:val="001B34AF"/>
    <w:rsid w:val="001B575A"/>
    <w:rsid w:val="001B5F0D"/>
    <w:rsid w:val="001B6818"/>
    <w:rsid w:val="001B732B"/>
    <w:rsid w:val="001C406F"/>
    <w:rsid w:val="001C6EE8"/>
    <w:rsid w:val="001C78AA"/>
    <w:rsid w:val="001D0B85"/>
    <w:rsid w:val="001D240F"/>
    <w:rsid w:val="001D3BE5"/>
    <w:rsid w:val="001D4C34"/>
    <w:rsid w:val="001D4CB8"/>
    <w:rsid w:val="001F5032"/>
    <w:rsid w:val="001F7732"/>
    <w:rsid w:val="0020264F"/>
    <w:rsid w:val="00203F57"/>
    <w:rsid w:val="00206185"/>
    <w:rsid w:val="00213C46"/>
    <w:rsid w:val="00215EF1"/>
    <w:rsid w:val="0021788C"/>
    <w:rsid w:val="002225AF"/>
    <w:rsid w:val="00222918"/>
    <w:rsid w:val="00224E54"/>
    <w:rsid w:val="00237EE2"/>
    <w:rsid w:val="00243FD5"/>
    <w:rsid w:val="00245C6D"/>
    <w:rsid w:val="0024635F"/>
    <w:rsid w:val="00247101"/>
    <w:rsid w:val="00247BCC"/>
    <w:rsid w:val="00250403"/>
    <w:rsid w:val="00250878"/>
    <w:rsid w:val="0025120B"/>
    <w:rsid w:val="00252C3C"/>
    <w:rsid w:val="00263961"/>
    <w:rsid w:val="00264CFB"/>
    <w:rsid w:val="00266565"/>
    <w:rsid w:val="00267A86"/>
    <w:rsid w:val="00267CB5"/>
    <w:rsid w:val="00270BF0"/>
    <w:rsid w:val="00274262"/>
    <w:rsid w:val="002759E1"/>
    <w:rsid w:val="00275BAE"/>
    <w:rsid w:val="00282685"/>
    <w:rsid w:val="00285ADE"/>
    <w:rsid w:val="00292294"/>
    <w:rsid w:val="002A0A7D"/>
    <w:rsid w:val="002B2413"/>
    <w:rsid w:val="002B540B"/>
    <w:rsid w:val="002B6816"/>
    <w:rsid w:val="002C043B"/>
    <w:rsid w:val="002C44D1"/>
    <w:rsid w:val="002C4799"/>
    <w:rsid w:val="002C7189"/>
    <w:rsid w:val="002E1C0B"/>
    <w:rsid w:val="002E256A"/>
    <w:rsid w:val="002E2B99"/>
    <w:rsid w:val="002E56A2"/>
    <w:rsid w:val="002E7057"/>
    <w:rsid w:val="002E7604"/>
    <w:rsid w:val="002F600B"/>
    <w:rsid w:val="002F682C"/>
    <w:rsid w:val="002F7FEB"/>
    <w:rsid w:val="003032C5"/>
    <w:rsid w:val="00304436"/>
    <w:rsid w:val="00306E93"/>
    <w:rsid w:val="00307A68"/>
    <w:rsid w:val="00310802"/>
    <w:rsid w:val="00320638"/>
    <w:rsid w:val="00323A0E"/>
    <w:rsid w:val="00326F6E"/>
    <w:rsid w:val="003317AB"/>
    <w:rsid w:val="00333F48"/>
    <w:rsid w:val="0033607C"/>
    <w:rsid w:val="0033633D"/>
    <w:rsid w:val="0034540F"/>
    <w:rsid w:val="00345BEB"/>
    <w:rsid w:val="003474A6"/>
    <w:rsid w:val="00350D01"/>
    <w:rsid w:val="00352185"/>
    <w:rsid w:val="00352F50"/>
    <w:rsid w:val="003542E8"/>
    <w:rsid w:val="00355010"/>
    <w:rsid w:val="0036129D"/>
    <w:rsid w:val="00363696"/>
    <w:rsid w:val="00363D41"/>
    <w:rsid w:val="00366575"/>
    <w:rsid w:val="0036666E"/>
    <w:rsid w:val="00366A1A"/>
    <w:rsid w:val="00370B84"/>
    <w:rsid w:val="00370E09"/>
    <w:rsid w:val="00370FA9"/>
    <w:rsid w:val="0037126D"/>
    <w:rsid w:val="0037569F"/>
    <w:rsid w:val="0037591E"/>
    <w:rsid w:val="0038443D"/>
    <w:rsid w:val="00385B46"/>
    <w:rsid w:val="00390F8E"/>
    <w:rsid w:val="003923B5"/>
    <w:rsid w:val="003931B1"/>
    <w:rsid w:val="00393588"/>
    <w:rsid w:val="003945F3"/>
    <w:rsid w:val="003A040E"/>
    <w:rsid w:val="003B40A7"/>
    <w:rsid w:val="003B4477"/>
    <w:rsid w:val="003B5BF9"/>
    <w:rsid w:val="003C732D"/>
    <w:rsid w:val="003D0B82"/>
    <w:rsid w:val="003D2B72"/>
    <w:rsid w:val="003D5784"/>
    <w:rsid w:val="003D6256"/>
    <w:rsid w:val="003E03A6"/>
    <w:rsid w:val="003E6F73"/>
    <w:rsid w:val="003F3C54"/>
    <w:rsid w:val="00401C04"/>
    <w:rsid w:val="00402CE2"/>
    <w:rsid w:val="00404ACD"/>
    <w:rsid w:val="00406F67"/>
    <w:rsid w:val="004071A3"/>
    <w:rsid w:val="00411C97"/>
    <w:rsid w:val="00413F4D"/>
    <w:rsid w:val="00416663"/>
    <w:rsid w:val="004217A1"/>
    <w:rsid w:val="0042699C"/>
    <w:rsid w:val="00432C72"/>
    <w:rsid w:val="00432D72"/>
    <w:rsid w:val="00435A01"/>
    <w:rsid w:val="004410DD"/>
    <w:rsid w:val="0044223D"/>
    <w:rsid w:val="004432D1"/>
    <w:rsid w:val="004436E7"/>
    <w:rsid w:val="00443A60"/>
    <w:rsid w:val="004473E8"/>
    <w:rsid w:val="00456BDF"/>
    <w:rsid w:val="004619F8"/>
    <w:rsid w:val="00462445"/>
    <w:rsid w:val="00462AAC"/>
    <w:rsid w:val="00464780"/>
    <w:rsid w:val="0046698B"/>
    <w:rsid w:val="00472A10"/>
    <w:rsid w:val="00475665"/>
    <w:rsid w:val="00483A76"/>
    <w:rsid w:val="0048514D"/>
    <w:rsid w:val="00491597"/>
    <w:rsid w:val="00493881"/>
    <w:rsid w:val="0049780A"/>
    <w:rsid w:val="00497EC4"/>
    <w:rsid w:val="004A0A3E"/>
    <w:rsid w:val="004A64EE"/>
    <w:rsid w:val="004A673E"/>
    <w:rsid w:val="004B1930"/>
    <w:rsid w:val="004B5C3D"/>
    <w:rsid w:val="004B65DF"/>
    <w:rsid w:val="004C079A"/>
    <w:rsid w:val="004C239A"/>
    <w:rsid w:val="004C6A28"/>
    <w:rsid w:val="004D18D7"/>
    <w:rsid w:val="004D7230"/>
    <w:rsid w:val="004D7303"/>
    <w:rsid w:val="004E06B0"/>
    <w:rsid w:val="004E08D0"/>
    <w:rsid w:val="004E3454"/>
    <w:rsid w:val="004E387F"/>
    <w:rsid w:val="004E48A4"/>
    <w:rsid w:val="004E608A"/>
    <w:rsid w:val="004E65D6"/>
    <w:rsid w:val="004E6C86"/>
    <w:rsid w:val="00500373"/>
    <w:rsid w:val="005031A5"/>
    <w:rsid w:val="00505010"/>
    <w:rsid w:val="00505ACC"/>
    <w:rsid w:val="005070D8"/>
    <w:rsid w:val="00511798"/>
    <w:rsid w:val="00512ABA"/>
    <w:rsid w:val="005144D1"/>
    <w:rsid w:val="00520895"/>
    <w:rsid w:val="005214C1"/>
    <w:rsid w:val="00522CEE"/>
    <w:rsid w:val="00535EA3"/>
    <w:rsid w:val="005369F6"/>
    <w:rsid w:val="0054400E"/>
    <w:rsid w:val="005504E4"/>
    <w:rsid w:val="005519D2"/>
    <w:rsid w:val="00551C10"/>
    <w:rsid w:val="005543F8"/>
    <w:rsid w:val="0055481C"/>
    <w:rsid w:val="00555EDC"/>
    <w:rsid w:val="00563334"/>
    <w:rsid w:val="005633EA"/>
    <w:rsid w:val="00571BE6"/>
    <w:rsid w:val="00576C84"/>
    <w:rsid w:val="00576F47"/>
    <w:rsid w:val="00577729"/>
    <w:rsid w:val="005810F9"/>
    <w:rsid w:val="00582888"/>
    <w:rsid w:val="00582E9A"/>
    <w:rsid w:val="00582EE1"/>
    <w:rsid w:val="0058313C"/>
    <w:rsid w:val="00586A49"/>
    <w:rsid w:val="005901AD"/>
    <w:rsid w:val="00596F39"/>
    <w:rsid w:val="005A4147"/>
    <w:rsid w:val="005A427C"/>
    <w:rsid w:val="005A4480"/>
    <w:rsid w:val="005A515B"/>
    <w:rsid w:val="005A6E22"/>
    <w:rsid w:val="005B054F"/>
    <w:rsid w:val="005B0CDB"/>
    <w:rsid w:val="005B1548"/>
    <w:rsid w:val="005B404C"/>
    <w:rsid w:val="005B6CB3"/>
    <w:rsid w:val="005B7826"/>
    <w:rsid w:val="005C4FCC"/>
    <w:rsid w:val="005C5AA2"/>
    <w:rsid w:val="005D26EE"/>
    <w:rsid w:val="005D433C"/>
    <w:rsid w:val="005D4C56"/>
    <w:rsid w:val="005D568F"/>
    <w:rsid w:val="005D5BF8"/>
    <w:rsid w:val="005E05FD"/>
    <w:rsid w:val="005E32B8"/>
    <w:rsid w:val="005E6186"/>
    <w:rsid w:val="005F21B1"/>
    <w:rsid w:val="005F5472"/>
    <w:rsid w:val="005F646A"/>
    <w:rsid w:val="00602406"/>
    <w:rsid w:val="00602858"/>
    <w:rsid w:val="006052F2"/>
    <w:rsid w:val="006057F0"/>
    <w:rsid w:val="00606A63"/>
    <w:rsid w:val="00614C54"/>
    <w:rsid w:val="00620B18"/>
    <w:rsid w:val="00621CCE"/>
    <w:rsid w:val="00624A76"/>
    <w:rsid w:val="00625964"/>
    <w:rsid w:val="00627A91"/>
    <w:rsid w:val="006305B7"/>
    <w:rsid w:val="00632DA2"/>
    <w:rsid w:val="00637FCA"/>
    <w:rsid w:val="00651142"/>
    <w:rsid w:val="00652E1E"/>
    <w:rsid w:val="00654247"/>
    <w:rsid w:val="006547D2"/>
    <w:rsid w:val="00663B94"/>
    <w:rsid w:val="00671043"/>
    <w:rsid w:val="00672FFA"/>
    <w:rsid w:val="006771C9"/>
    <w:rsid w:val="00683D25"/>
    <w:rsid w:val="00685698"/>
    <w:rsid w:val="0068592F"/>
    <w:rsid w:val="00690C75"/>
    <w:rsid w:val="00691CA8"/>
    <w:rsid w:val="006970EC"/>
    <w:rsid w:val="006A0230"/>
    <w:rsid w:val="006A10D2"/>
    <w:rsid w:val="006A52AF"/>
    <w:rsid w:val="006B159A"/>
    <w:rsid w:val="006B2175"/>
    <w:rsid w:val="006B6604"/>
    <w:rsid w:val="006B7FB9"/>
    <w:rsid w:val="006C0AB8"/>
    <w:rsid w:val="006C10CD"/>
    <w:rsid w:val="006C20AA"/>
    <w:rsid w:val="006C6CC3"/>
    <w:rsid w:val="006C738D"/>
    <w:rsid w:val="006D221F"/>
    <w:rsid w:val="006D27B5"/>
    <w:rsid w:val="006E3390"/>
    <w:rsid w:val="006E33EF"/>
    <w:rsid w:val="006E6AE1"/>
    <w:rsid w:val="006F34D4"/>
    <w:rsid w:val="006F3967"/>
    <w:rsid w:val="006F3C4A"/>
    <w:rsid w:val="006F3EA7"/>
    <w:rsid w:val="00701EB9"/>
    <w:rsid w:val="0070340B"/>
    <w:rsid w:val="00706449"/>
    <w:rsid w:val="00707079"/>
    <w:rsid w:val="007075A6"/>
    <w:rsid w:val="00712BA7"/>
    <w:rsid w:val="00717091"/>
    <w:rsid w:val="007202F5"/>
    <w:rsid w:val="007217AA"/>
    <w:rsid w:val="00731B7A"/>
    <w:rsid w:val="00731F71"/>
    <w:rsid w:val="00733409"/>
    <w:rsid w:val="00733497"/>
    <w:rsid w:val="00734A3C"/>
    <w:rsid w:val="00742B35"/>
    <w:rsid w:val="007443E9"/>
    <w:rsid w:val="00745A90"/>
    <w:rsid w:val="00747081"/>
    <w:rsid w:val="00747AC1"/>
    <w:rsid w:val="007529B4"/>
    <w:rsid w:val="00755EAA"/>
    <w:rsid w:val="00756D47"/>
    <w:rsid w:val="00762E66"/>
    <w:rsid w:val="00765210"/>
    <w:rsid w:val="00765F1B"/>
    <w:rsid w:val="0076761D"/>
    <w:rsid w:val="0076794C"/>
    <w:rsid w:val="00771342"/>
    <w:rsid w:val="00771373"/>
    <w:rsid w:val="007730FF"/>
    <w:rsid w:val="007858BF"/>
    <w:rsid w:val="00786002"/>
    <w:rsid w:val="007903EB"/>
    <w:rsid w:val="00795C27"/>
    <w:rsid w:val="007A19A8"/>
    <w:rsid w:val="007A1BD9"/>
    <w:rsid w:val="007A3473"/>
    <w:rsid w:val="007B1636"/>
    <w:rsid w:val="007B23E3"/>
    <w:rsid w:val="007B321B"/>
    <w:rsid w:val="007B3996"/>
    <w:rsid w:val="007B45A5"/>
    <w:rsid w:val="007B5E71"/>
    <w:rsid w:val="007C4860"/>
    <w:rsid w:val="007C6650"/>
    <w:rsid w:val="007D0436"/>
    <w:rsid w:val="007D0928"/>
    <w:rsid w:val="007D1024"/>
    <w:rsid w:val="007D2924"/>
    <w:rsid w:val="007E042D"/>
    <w:rsid w:val="007E45E1"/>
    <w:rsid w:val="007E54F7"/>
    <w:rsid w:val="007F1187"/>
    <w:rsid w:val="007F22B1"/>
    <w:rsid w:val="008040BA"/>
    <w:rsid w:val="00806373"/>
    <w:rsid w:val="00811627"/>
    <w:rsid w:val="0081316F"/>
    <w:rsid w:val="00813816"/>
    <w:rsid w:val="008144EB"/>
    <w:rsid w:val="00815AC1"/>
    <w:rsid w:val="00817938"/>
    <w:rsid w:val="00817960"/>
    <w:rsid w:val="00822577"/>
    <w:rsid w:val="00822ED3"/>
    <w:rsid w:val="0082531B"/>
    <w:rsid w:val="00830CDF"/>
    <w:rsid w:val="0083121C"/>
    <w:rsid w:val="008317CA"/>
    <w:rsid w:val="00837E8C"/>
    <w:rsid w:val="00846CC5"/>
    <w:rsid w:val="008504F2"/>
    <w:rsid w:val="0085718C"/>
    <w:rsid w:val="00860F77"/>
    <w:rsid w:val="00863AC9"/>
    <w:rsid w:val="0087582F"/>
    <w:rsid w:val="00882002"/>
    <w:rsid w:val="00882FE1"/>
    <w:rsid w:val="008849A6"/>
    <w:rsid w:val="00885BA0"/>
    <w:rsid w:val="008A0BFD"/>
    <w:rsid w:val="008A2414"/>
    <w:rsid w:val="008A39C2"/>
    <w:rsid w:val="008A50CE"/>
    <w:rsid w:val="008A6403"/>
    <w:rsid w:val="008B14C4"/>
    <w:rsid w:val="008B303C"/>
    <w:rsid w:val="008B320A"/>
    <w:rsid w:val="008B60D5"/>
    <w:rsid w:val="008B6F57"/>
    <w:rsid w:val="008B7DDA"/>
    <w:rsid w:val="008C15A5"/>
    <w:rsid w:val="008C2C15"/>
    <w:rsid w:val="008C602C"/>
    <w:rsid w:val="008C766A"/>
    <w:rsid w:val="008D1FFB"/>
    <w:rsid w:val="008D39C3"/>
    <w:rsid w:val="008D57AB"/>
    <w:rsid w:val="008D601D"/>
    <w:rsid w:val="008D696C"/>
    <w:rsid w:val="008D6EC3"/>
    <w:rsid w:val="008E402A"/>
    <w:rsid w:val="008E4B74"/>
    <w:rsid w:val="008E5F62"/>
    <w:rsid w:val="008E702C"/>
    <w:rsid w:val="008F16BB"/>
    <w:rsid w:val="008F440A"/>
    <w:rsid w:val="008F51E4"/>
    <w:rsid w:val="008F6588"/>
    <w:rsid w:val="009010E3"/>
    <w:rsid w:val="00901FC1"/>
    <w:rsid w:val="0090345F"/>
    <w:rsid w:val="009036A4"/>
    <w:rsid w:val="009037E9"/>
    <w:rsid w:val="009103C8"/>
    <w:rsid w:val="009127E0"/>
    <w:rsid w:val="0092070A"/>
    <w:rsid w:val="009256A7"/>
    <w:rsid w:val="00927A25"/>
    <w:rsid w:val="0093051D"/>
    <w:rsid w:val="00930DE9"/>
    <w:rsid w:val="0093196E"/>
    <w:rsid w:val="00932296"/>
    <w:rsid w:val="00932543"/>
    <w:rsid w:val="00933B74"/>
    <w:rsid w:val="00936990"/>
    <w:rsid w:val="009375E5"/>
    <w:rsid w:val="00937B88"/>
    <w:rsid w:val="0094058A"/>
    <w:rsid w:val="0094122E"/>
    <w:rsid w:val="009429FF"/>
    <w:rsid w:val="00942D88"/>
    <w:rsid w:val="0094457F"/>
    <w:rsid w:val="00944F9D"/>
    <w:rsid w:val="009461CC"/>
    <w:rsid w:val="00946A5F"/>
    <w:rsid w:val="009502B4"/>
    <w:rsid w:val="009509ED"/>
    <w:rsid w:val="00952B31"/>
    <w:rsid w:val="009549C9"/>
    <w:rsid w:val="009618B1"/>
    <w:rsid w:val="009636B5"/>
    <w:rsid w:val="00964730"/>
    <w:rsid w:val="009664DB"/>
    <w:rsid w:val="00966B60"/>
    <w:rsid w:val="0097281C"/>
    <w:rsid w:val="00972A94"/>
    <w:rsid w:val="00974DC8"/>
    <w:rsid w:val="00974FD6"/>
    <w:rsid w:val="009769FA"/>
    <w:rsid w:val="00981CF5"/>
    <w:rsid w:val="009846C9"/>
    <w:rsid w:val="00994283"/>
    <w:rsid w:val="0099482C"/>
    <w:rsid w:val="00996801"/>
    <w:rsid w:val="009A041C"/>
    <w:rsid w:val="009A1F8A"/>
    <w:rsid w:val="009A4556"/>
    <w:rsid w:val="009A6BC0"/>
    <w:rsid w:val="009A7751"/>
    <w:rsid w:val="009B1A82"/>
    <w:rsid w:val="009B4A52"/>
    <w:rsid w:val="009B4B0C"/>
    <w:rsid w:val="009B563B"/>
    <w:rsid w:val="009B659F"/>
    <w:rsid w:val="009B6F79"/>
    <w:rsid w:val="009C1B56"/>
    <w:rsid w:val="009C2F82"/>
    <w:rsid w:val="009C3396"/>
    <w:rsid w:val="009C667A"/>
    <w:rsid w:val="009D0249"/>
    <w:rsid w:val="009D59F0"/>
    <w:rsid w:val="009D72BB"/>
    <w:rsid w:val="009E3E6A"/>
    <w:rsid w:val="009E64D1"/>
    <w:rsid w:val="009F159E"/>
    <w:rsid w:val="009F39B1"/>
    <w:rsid w:val="00A0022F"/>
    <w:rsid w:val="00A06B18"/>
    <w:rsid w:val="00A06E41"/>
    <w:rsid w:val="00A107FD"/>
    <w:rsid w:val="00A11D9C"/>
    <w:rsid w:val="00A12B78"/>
    <w:rsid w:val="00A1477F"/>
    <w:rsid w:val="00A231F9"/>
    <w:rsid w:val="00A23E0E"/>
    <w:rsid w:val="00A26EA4"/>
    <w:rsid w:val="00A27BC1"/>
    <w:rsid w:val="00A365A0"/>
    <w:rsid w:val="00A370A3"/>
    <w:rsid w:val="00A37292"/>
    <w:rsid w:val="00A574D0"/>
    <w:rsid w:val="00A6461C"/>
    <w:rsid w:val="00A760E4"/>
    <w:rsid w:val="00A83A0A"/>
    <w:rsid w:val="00A86CA0"/>
    <w:rsid w:val="00A91ABA"/>
    <w:rsid w:val="00A93F5B"/>
    <w:rsid w:val="00AA45AC"/>
    <w:rsid w:val="00AB03E4"/>
    <w:rsid w:val="00AB078E"/>
    <w:rsid w:val="00AB1343"/>
    <w:rsid w:val="00AB1C7E"/>
    <w:rsid w:val="00AB37DB"/>
    <w:rsid w:val="00AB48F5"/>
    <w:rsid w:val="00AB739A"/>
    <w:rsid w:val="00AC16C4"/>
    <w:rsid w:val="00AC480C"/>
    <w:rsid w:val="00AC509B"/>
    <w:rsid w:val="00AC704A"/>
    <w:rsid w:val="00AD53C3"/>
    <w:rsid w:val="00AE4E13"/>
    <w:rsid w:val="00AF04B7"/>
    <w:rsid w:val="00AF0A4A"/>
    <w:rsid w:val="00B0115F"/>
    <w:rsid w:val="00B043CE"/>
    <w:rsid w:val="00B06A6F"/>
    <w:rsid w:val="00B11F21"/>
    <w:rsid w:val="00B124CC"/>
    <w:rsid w:val="00B158C2"/>
    <w:rsid w:val="00B1596B"/>
    <w:rsid w:val="00B1607B"/>
    <w:rsid w:val="00B1764E"/>
    <w:rsid w:val="00B20132"/>
    <w:rsid w:val="00B219A7"/>
    <w:rsid w:val="00B2322F"/>
    <w:rsid w:val="00B26C98"/>
    <w:rsid w:val="00B27A04"/>
    <w:rsid w:val="00B361D0"/>
    <w:rsid w:val="00B3750F"/>
    <w:rsid w:val="00B37BF8"/>
    <w:rsid w:val="00B37C45"/>
    <w:rsid w:val="00B40196"/>
    <w:rsid w:val="00B40466"/>
    <w:rsid w:val="00B41CC6"/>
    <w:rsid w:val="00B4641B"/>
    <w:rsid w:val="00B47220"/>
    <w:rsid w:val="00B47EFB"/>
    <w:rsid w:val="00B63B8C"/>
    <w:rsid w:val="00B65AE6"/>
    <w:rsid w:val="00B7184B"/>
    <w:rsid w:val="00B75159"/>
    <w:rsid w:val="00B76695"/>
    <w:rsid w:val="00B77ADE"/>
    <w:rsid w:val="00B825EA"/>
    <w:rsid w:val="00B83D3B"/>
    <w:rsid w:val="00BA4BAE"/>
    <w:rsid w:val="00BA510B"/>
    <w:rsid w:val="00BB0D92"/>
    <w:rsid w:val="00BB1658"/>
    <w:rsid w:val="00BB1C9B"/>
    <w:rsid w:val="00BB70F3"/>
    <w:rsid w:val="00BB74F1"/>
    <w:rsid w:val="00BB7B7C"/>
    <w:rsid w:val="00BC1619"/>
    <w:rsid w:val="00BC4161"/>
    <w:rsid w:val="00BC7299"/>
    <w:rsid w:val="00BE3DAE"/>
    <w:rsid w:val="00BE4F70"/>
    <w:rsid w:val="00BE689F"/>
    <w:rsid w:val="00BE6C5C"/>
    <w:rsid w:val="00BF2E44"/>
    <w:rsid w:val="00BF6B69"/>
    <w:rsid w:val="00C01D44"/>
    <w:rsid w:val="00C0382C"/>
    <w:rsid w:val="00C03B98"/>
    <w:rsid w:val="00C07674"/>
    <w:rsid w:val="00C11116"/>
    <w:rsid w:val="00C1278F"/>
    <w:rsid w:val="00C13335"/>
    <w:rsid w:val="00C13945"/>
    <w:rsid w:val="00C16C8B"/>
    <w:rsid w:val="00C24348"/>
    <w:rsid w:val="00C34FD8"/>
    <w:rsid w:val="00C44469"/>
    <w:rsid w:val="00C450BD"/>
    <w:rsid w:val="00C45B8C"/>
    <w:rsid w:val="00C52839"/>
    <w:rsid w:val="00C54EF9"/>
    <w:rsid w:val="00C562CB"/>
    <w:rsid w:val="00C60768"/>
    <w:rsid w:val="00C64E0E"/>
    <w:rsid w:val="00C75BAF"/>
    <w:rsid w:val="00C75DBD"/>
    <w:rsid w:val="00C7737A"/>
    <w:rsid w:val="00C8353C"/>
    <w:rsid w:val="00C84BC9"/>
    <w:rsid w:val="00C86F20"/>
    <w:rsid w:val="00C93D3D"/>
    <w:rsid w:val="00C94D38"/>
    <w:rsid w:val="00C9591A"/>
    <w:rsid w:val="00C95CDF"/>
    <w:rsid w:val="00CA0036"/>
    <w:rsid w:val="00CA3F36"/>
    <w:rsid w:val="00CA617F"/>
    <w:rsid w:val="00CA6395"/>
    <w:rsid w:val="00CA6501"/>
    <w:rsid w:val="00CA7A14"/>
    <w:rsid w:val="00CB09CA"/>
    <w:rsid w:val="00CB1821"/>
    <w:rsid w:val="00CB25F4"/>
    <w:rsid w:val="00CB2BBF"/>
    <w:rsid w:val="00CC2347"/>
    <w:rsid w:val="00CC32D7"/>
    <w:rsid w:val="00CC439C"/>
    <w:rsid w:val="00CC6A1A"/>
    <w:rsid w:val="00CD02C5"/>
    <w:rsid w:val="00CE3C4B"/>
    <w:rsid w:val="00CE5190"/>
    <w:rsid w:val="00CE5354"/>
    <w:rsid w:val="00CE647E"/>
    <w:rsid w:val="00CE67A4"/>
    <w:rsid w:val="00CF12B1"/>
    <w:rsid w:val="00CF1E22"/>
    <w:rsid w:val="00CF37A3"/>
    <w:rsid w:val="00CF53F1"/>
    <w:rsid w:val="00D03954"/>
    <w:rsid w:val="00D07F91"/>
    <w:rsid w:val="00D10988"/>
    <w:rsid w:val="00D150E3"/>
    <w:rsid w:val="00D243FA"/>
    <w:rsid w:val="00D2619D"/>
    <w:rsid w:val="00D27296"/>
    <w:rsid w:val="00D32F42"/>
    <w:rsid w:val="00D34B0B"/>
    <w:rsid w:val="00D37EAC"/>
    <w:rsid w:val="00D401F0"/>
    <w:rsid w:val="00D40F5B"/>
    <w:rsid w:val="00D470C5"/>
    <w:rsid w:val="00D47665"/>
    <w:rsid w:val="00D50972"/>
    <w:rsid w:val="00D52CAF"/>
    <w:rsid w:val="00D64A41"/>
    <w:rsid w:val="00D67FEC"/>
    <w:rsid w:val="00D70F86"/>
    <w:rsid w:val="00D723EB"/>
    <w:rsid w:val="00D735BD"/>
    <w:rsid w:val="00D752E3"/>
    <w:rsid w:val="00D75614"/>
    <w:rsid w:val="00D7661F"/>
    <w:rsid w:val="00D85602"/>
    <w:rsid w:val="00D872C0"/>
    <w:rsid w:val="00D9054E"/>
    <w:rsid w:val="00D959ED"/>
    <w:rsid w:val="00DA1EBA"/>
    <w:rsid w:val="00DA3614"/>
    <w:rsid w:val="00DA589E"/>
    <w:rsid w:val="00DB2A46"/>
    <w:rsid w:val="00DC01EE"/>
    <w:rsid w:val="00DC1776"/>
    <w:rsid w:val="00DC206F"/>
    <w:rsid w:val="00DC2D1F"/>
    <w:rsid w:val="00DC3C9E"/>
    <w:rsid w:val="00DC3D76"/>
    <w:rsid w:val="00DC40E4"/>
    <w:rsid w:val="00DC5EF9"/>
    <w:rsid w:val="00DC7C3C"/>
    <w:rsid w:val="00DC7C42"/>
    <w:rsid w:val="00DD0129"/>
    <w:rsid w:val="00DD0E7F"/>
    <w:rsid w:val="00DD526B"/>
    <w:rsid w:val="00DD67BC"/>
    <w:rsid w:val="00DD79BA"/>
    <w:rsid w:val="00DD7A74"/>
    <w:rsid w:val="00DE1CCD"/>
    <w:rsid w:val="00DE262C"/>
    <w:rsid w:val="00DE2820"/>
    <w:rsid w:val="00DE6867"/>
    <w:rsid w:val="00DF16A0"/>
    <w:rsid w:val="00DF2EBA"/>
    <w:rsid w:val="00DF359C"/>
    <w:rsid w:val="00DF4EF0"/>
    <w:rsid w:val="00DF595A"/>
    <w:rsid w:val="00DF73DD"/>
    <w:rsid w:val="00E0066E"/>
    <w:rsid w:val="00E04790"/>
    <w:rsid w:val="00E10B01"/>
    <w:rsid w:val="00E10F16"/>
    <w:rsid w:val="00E12BCF"/>
    <w:rsid w:val="00E1708D"/>
    <w:rsid w:val="00E176DC"/>
    <w:rsid w:val="00E224A5"/>
    <w:rsid w:val="00E22622"/>
    <w:rsid w:val="00E22DAC"/>
    <w:rsid w:val="00E234B8"/>
    <w:rsid w:val="00E235C7"/>
    <w:rsid w:val="00E25BFF"/>
    <w:rsid w:val="00E27E75"/>
    <w:rsid w:val="00E35FA3"/>
    <w:rsid w:val="00E36D4A"/>
    <w:rsid w:val="00E40EF9"/>
    <w:rsid w:val="00E413DA"/>
    <w:rsid w:val="00E419E2"/>
    <w:rsid w:val="00E43D7F"/>
    <w:rsid w:val="00E44733"/>
    <w:rsid w:val="00E50957"/>
    <w:rsid w:val="00E51766"/>
    <w:rsid w:val="00E53EAD"/>
    <w:rsid w:val="00E55803"/>
    <w:rsid w:val="00E55DAD"/>
    <w:rsid w:val="00E57FBB"/>
    <w:rsid w:val="00E6781A"/>
    <w:rsid w:val="00E67DCB"/>
    <w:rsid w:val="00E7043E"/>
    <w:rsid w:val="00E7343E"/>
    <w:rsid w:val="00E740FE"/>
    <w:rsid w:val="00E842BF"/>
    <w:rsid w:val="00E8738C"/>
    <w:rsid w:val="00E94DAF"/>
    <w:rsid w:val="00EA11D5"/>
    <w:rsid w:val="00EA247B"/>
    <w:rsid w:val="00EA707A"/>
    <w:rsid w:val="00EB49C2"/>
    <w:rsid w:val="00EB5033"/>
    <w:rsid w:val="00EB51BA"/>
    <w:rsid w:val="00EC1E05"/>
    <w:rsid w:val="00EC519D"/>
    <w:rsid w:val="00ED453B"/>
    <w:rsid w:val="00ED4819"/>
    <w:rsid w:val="00ED6367"/>
    <w:rsid w:val="00EF72BB"/>
    <w:rsid w:val="00F027D7"/>
    <w:rsid w:val="00F03CA3"/>
    <w:rsid w:val="00F10C5A"/>
    <w:rsid w:val="00F12F0F"/>
    <w:rsid w:val="00F13E5D"/>
    <w:rsid w:val="00F171E6"/>
    <w:rsid w:val="00F266B4"/>
    <w:rsid w:val="00F27A47"/>
    <w:rsid w:val="00F3104F"/>
    <w:rsid w:val="00F31DF6"/>
    <w:rsid w:val="00F31ED1"/>
    <w:rsid w:val="00F347B6"/>
    <w:rsid w:val="00F4302C"/>
    <w:rsid w:val="00F4330E"/>
    <w:rsid w:val="00F44FD5"/>
    <w:rsid w:val="00F51BAE"/>
    <w:rsid w:val="00F52366"/>
    <w:rsid w:val="00F52638"/>
    <w:rsid w:val="00F52C1D"/>
    <w:rsid w:val="00F5367C"/>
    <w:rsid w:val="00F557D6"/>
    <w:rsid w:val="00F5658E"/>
    <w:rsid w:val="00F62E09"/>
    <w:rsid w:val="00F65CEB"/>
    <w:rsid w:val="00F708F5"/>
    <w:rsid w:val="00F744D6"/>
    <w:rsid w:val="00F819E9"/>
    <w:rsid w:val="00F838FF"/>
    <w:rsid w:val="00FA098D"/>
    <w:rsid w:val="00FA0AB8"/>
    <w:rsid w:val="00FA370A"/>
    <w:rsid w:val="00FA77C9"/>
    <w:rsid w:val="00FB1260"/>
    <w:rsid w:val="00FB1B22"/>
    <w:rsid w:val="00FB20AA"/>
    <w:rsid w:val="00FB2948"/>
    <w:rsid w:val="00FB3835"/>
    <w:rsid w:val="00FC216B"/>
    <w:rsid w:val="00FC34E9"/>
    <w:rsid w:val="00FC4968"/>
    <w:rsid w:val="00FC7FEC"/>
    <w:rsid w:val="00FD314E"/>
    <w:rsid w:val="00FD3800"/>
    <w:rsid w:val="00FD605F"/>
    <w:rsid w:val="00FD6689"/>
    <w:rsid w:val="00FE0F34"/>
    <w:rsid w:val="00FE4BF6"/>
    <w:rsid w:val="00FF0B0E"/>
    <w:rsid w:val="00FF10F5"/>
    <w:rsid w:val="00FF15E5"/>
    <w:rsid w:val="00FF35F6"/>
    <w:rsid w:val="00FF37C0"/>
    <w:rsid w:val="00FF49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FEB19"/>
  <w15:chartTrackingRefBased/>
  <w15:docId w15:val="{6BA63FC4-50FA-48EE-A603-D3EFFA38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43E"/>
  </w:style>
  <w:style w:type="paragraph" w:styleId="1">
    <w:name w:val="heading 1"/>
    <w:basedOn w:val="a"/>
    <w:next w:val="a"/>
    <w:link w:val="10"/>
    <w:uiPriority w:val="9"/>
    <w:qFormat/>
    <w:rsid w:val="00E7343E"/>
    <w:pPr>
      <w:keepNext/>
      <w:keepLines/>
      <w:spacing w:before="480" w:after="0"/>
      <w:outlineLvl w:val="0"/>
    </w:pPr>
    <w:rPr>
      <w:rFonts w:asciiTheme="majorHAnsi" w:eastAsia="標楷體" w:hAnsiTheme="majorHAnsi" w:cstheme="majorBidi"/>
      <w:b/>
      <w:bCs/>
      <w:sz w:val="32"/>
      <w:szCs w:val="28"/>
    </w:rPr>
  </w:style>
  <w:style w:type="paragraph" w:styleId="2">
    <w:name w:val="heading 2"/>
    <w:basedOn w:val="a"/>
    <w:next w:val="a"/>
    <w:link w:val="20"/>
    <w:uiPriority w:val="9"/>
    <w:semiHidden/>
    <w:unhideWhenUsed/>
    <w:qFormat/>
    <w:rsid w:val="00E7343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E7343E"/>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E7343E"/>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E7343E"/>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E7343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E734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7343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E734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B2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szCs w:val="24"/>
    </w:rPr>
  </w:style>
  <w:style w:type="character" w:customStyle="1" w:styleId="HTML0">
    <w:name w:val="HTML 預設格式 字元"/>
    <w:basedOn w:val="a0"/>
    <w:link w:val="HTML"/>
    <w:uiPriority w:val="99"/>
    <w:rsid w:val="00DB2A46"/>
    <w:rPr>
      <w:rFonts w:ascii="細明體" w:eastAsia="細明體" w:hAnsi="細明體" w:cs="細明體"/>
      <w:color w:val="333333"/>
      <w:kern w:val="0"/>
      <w:szCs w:val="24"/>
    </w:rPr>
  </w:style>
  <w:style w:type="paragraph" w:styleId="a4">
    <w:name w:val="header"/>
    <w:basedOn w:val="a"/>
    <w:link w:val="a5"/>
    <w:unhideWhenUsed/>
    <w:rsid w:val="00505ACC"/>
    <w:pPr>
      <w:tabs>
        <w:tab w:val="center" w:pos="4153"/>
        <w:tab w:val="right" w:pos="8306"/>
      </w:tabs>
      <w:snapToGrid w:val="0"/>
    </w:pPr>
    <w:rPr>
      <w:sz w:val="20"/>
      <w:szCs w:val="20"/>
    </w:rPr>
  </w:style>
  <w:style w:type="character" w:customStyle="1" w:styleId="a5">
    <w:name w:val="頁首 字元"/>
    <w:basedOn w:val="a0"/>
    <w:link w:val="a4"/>
    <w:rsid w:val="00505ACC"/>
    <w:rPr>
      <w:sz w:val="20"/>
      <w:szCs w:val="20"/>
    </w:rPr>
  </w:style>
  <w:style w:type="paragraph" w:styleId="a6">
    <w:name w:val="footer"/>
    <w:basedOn w:val="a"/>
    <w:link w:val="a7"/>
    <w:uiPriority w:val="99"/>
    <w:unhideWhenUsed/>
    <w:rsid w:val="00505ACC"/>
    <w:pPr>
      <w:tabs>
        <w:tab w:val="center" w:pos="4153"/>
        <w:tab w:val="right" w:pos="8306"/>
      </w:tabs>
      <w:snapToGrid w:val="0"/>
    </w:pPr>
    <w:rPr>
      <w:sz w:val="20"/>
      <w:szCs w:val="20"/>
    </w:rPr>
  </w:style>
  <w:style w:type="character" w:customStyle="1" w:styleId="a7">
    <w:name w:val="頁尾 字元"/>
    <w:basedOn w:val="a0"/>
    <w:link w:val="a6"/>
    <w:uiPriority w:val="99"/>
    <w:rsid w:val="00505ACC"/>
    <w:rPr>
      <w:sz w:val="20"/>
      <w:szCs w:val="20"/>
    </w:rPr>
  </w:style>
  <w:style w:type="paragraph" w:styleId="a8">
    <w:name w:val="Balloon Text"/>
    <w:basedOn w:val="a"/>
    <w:link w:val="a9"/>
    <w:uiPriority w:val="99"/>
    <w:semiHidden/>
    <w:unhideWhenUsed/>
    <w:rsid w:val="00CA650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A6501"/>
    <w:rPr>
      <w:rFonts w:asciiTheme="majorHAnsi" w:eastAsiaTheme="majorEastAsia" w:hAnsiTheme="majorHAnsi" w:cstheme="majorBidi"/>
      <w:sz w:val="18"/>
      <w:szCs w:val="18"/>
    </w:rPr>
  </w:style>
  <w:style w:type="table" w:customStyle="1" w:styleId="11">
    <w:name w:val="表格格線1"/>
    <w:basedOn w:val="a1"/>
    <w:next w:val="a3"/>
    <w:uiPriority w:val="59"/>
    <w:rsid w:val="00164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E7343E"/>
    <w:rPr>
      <w:rFonts w:asciiTheme="majorHAnsi" w:eastAsia="標楷體" w:hAnsiTheme="majorHAnsi" w:cstheme="majorBidi"/>
      <w:b/>
      <w:bCs/>
      <w:sz w:val="32"/>
      <w:szCs w:val="28"/>
    </w:rPr>
  </w:style>
  <w:style w:type="character" w:customStyle="1" w:styleId="20">
    <w:name w:val="標題 2 字元"/>
    <w:basedOn w:val="a0"/>
    <w:link w:val="2"/>
    <w:uiPriority w:val="9"/>
    <w:semiHidden/>
    <w:rsid w:val="00E7343E"/>
    <w:rPr>
      <w:rFonts w:asciiTheme="majorHAnsi" w:eastAsiaTheme="majorEastAsia" w:hAnsiTheme="majorHAnsi" w:cstheme="majorBidi"/>
      <w:b/>
      <w:bCs/>
      <w:color w:val="4472C4" w:themeColor="accent1"/>
      <w:sz w:val="26"/>
      <w:szCs w:val="26"/>
    </w:rPr>
  </w:style>
  <w:style w:type="character" w:customStyle="1" w:styleId="30">
    <w:name w:val="標題 3 字元"/>
    <w:basedOn w:val="a0"/>
    <w:link w:val="3"/>
    <w:uiPriority w:val="9"/>
    <w:semiHidden/>
    <w:rsid w:val="00E7343E"/>
    <w:rPr>
      <w:rFonts w:asciiTheme="majorHAnsi" w:eastAsiaTheme="majorEastAsia" w:hAnsiTheme="majorHAnsi" w:cstheme="majorBidi"/>
      <w:b/>
      <w:bCs/>
      <w:color w:val="4472C4" w:themeColor="accent1"/>
    </w:rPr>
  </w:style>
  <w:style w:type="character" w:customStyle="1" w:styleId="40">
    <w:name w:val="標題 4 字元"/>
    <w:basedOn w:val="a0"/>
    <w:link w:val="4"/>
    <w:uiPriority w:val="9"/>
    <w:semiHidden/>
    <w:rsid w:val="00E7343E"/>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semiHidden/>
    <w:rsid w:val="00E7343E"/>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semiHidden/>
    <w:rsid w:val="00E7343E"/>
    <w:rPr>
      <w:rFonts w:asciiTheme="majorHAnsi" w:eastAsiaTheme="majorEastAsia" w:hAnsiTheme="majorHAnsi" w:cstheme="majorBidi"/>
      <w:i/>
      <w:iCs/>
      <w:color w:val="1F3763" w:themeColor="accent1" w:themeShade="7F"/>
    </w:rPr>
  </w:style>
  <w:style w:type="character" w:customStyle="1" w:styleId="70">
    <w:name w:val="標題 7 字元"/>
    <w:basedOn w:val="a0"/>
    <w:link w:val="7"/>
    <w:uiPriority w:val="9"/>
    <w:semiHidden/>
    <w:rsid w:val="00E7343E"/>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semiHidden/>
    <w:rsid w:val="00E7343E"/>
    <w:rPr>
      <w:rFonts w:asciiTheme="majorHAnsi" w:eastAsiaTheme="majorEastAsia" w:hAnsiTheme="majorHAnsi" w:cstheme="majorBidi"/>
      <w:color w:val="4472C4" w:themeColor="accent1"/>
      <w:sz w:val="20"/>
      <w:szCs w:val="20"/>
    </w:rPr>
  </w:style>
  <w:style w:type="character" w:customStyle="1" w:styleId="90">
    <w:name w:val="標題 9 字元"/>
    <w:basedOn w:val="a0"/>
    <w:link w:val="9"/>
    <w:uiPriority w:val="9"/>
    <w:semiHidden/>
    <w:rsid w:val="00E7343E"/>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E7343E"/>
    <w:pPr>
      <w:spacing w:line="240" w:lineRule="auto"/>
    </w:pPr>
    <w:rPr>
      <w:b/>
      <w:bCs/>
      <w:color w:val="4472C4" w:themeColor="accent1"/>
      <w:sz w:val="18"/>
      <w:szCs w:val="18"/>
    </w:rPr>
  </w:style>
  <w:style w:type="paragraph" w:styleId="ab">
    <w:name w:val="Title"/>
    <w:basedOn w:val="a"/>
    <w:next w:val="a"/>
    <w:link w:val="ac"/>
    <w:uiPriority w:val="10"/>
    <w:qFormat/>
    <w:rsid w:val="00E7343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c">
    <w:name w:val="標題 字元"/>
    <w:basedOn w:val="a0"/>
    <w:link w:val="ab"/>
    <w:uiPriority w:val="10"/>
    <w:rsid w:val="00E7343E"/>
    <w:rPr>
      <w:rFonts w:asciiTheme="majorHAnsi" w:eastAsiaTheme="majorEastAsia" w:hAnsiTheme="majorHAnsi" w:cstheme="majorBidi"/>
      <w:color w:val="323E4F" w:themeColor="text2" w:themeShade="BF"/>
      <w:spacing w:val="5"/>
      <w:sz w:val="52"/>
      <w:szCs w:val="52"/>
    </w:rPr>
  </w:style>
  <w:style w:type="paragraph" w:styleId="ad">
    <w:name w:val="Subtitle"/>
    <w:basedOn w:val="a"/>
    <w:next w:val="a"/>
    <w:link w:val="ae"/>
    <w:uiPriority w:val="11"/>
    <w:qFormat/>
    <w:rsid w:val="00E7343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e">
    <w:name w:val="副標題 字元"/>
    <w:basedOn w:val="a0"/>
    <w:link w:val="ad"/>
    <w:uiPriority w:val="11"/>
    <w:rsid w:val="00E7343E"/>
    <w:rPr>
      <w:rFonts w:asciiTheme="majorHAnsi" w:eastAsiaTheme="majorEastAsia" w:hAnsiTheme="majorHAnsi" w:cstheme="majorBidi"/>
      <w:i/>
      <w:iCs/>
      <w:color w:val="4472C4" w:themeColor="accent1"/>
      <w:spacing w:val="15"/>
      <w:sz w:val="24"/>
      <w:szCs w:val="24"/>
    </w:rPr>
  </w:style>
  <w:style w:type="character" w:styleId="af">
    <w:name w:val="Strong"/>
    <w:basedOn w:val="a0"/>
    <w:uiPriority w:val="22"/>
    <w:qFormat/>
    <w:rsid w:val="00E7343E"/>
    <w:rPr>
      <w:b/>
      <w:bCs/>
    </w:rPr>
  </w:style>
  <w:style w:type="character" w:styleId="af0">
    <w:name w:val="Emphasis"/>
    <w:basedOn w:val="a0"/>
    <w:uiPriority w:val="20"/>
    <w:qFormat/>
    <w:rsid w:val="00E7343E"/>
    <w:rPr>
      <w:i/>
      <w:iCs/>
    </w:rPr>
  </w:style>
  <w:style w:type="paragraph" w:styleId="af1">
    <w:name w:val="No Spacing"/>
    <w:uiPriority w:val="1"/>
    <w:qFormat/>
    <w:rsid w:val="00E7343E"/>
    <w:pPr>
      <w:spacing w:after="0" w:line="240" w:lineRule="auto"/>
    </w:pPr>
  </w:style>
  <w:style w:type="paragraph" w:styleId="af2">
    <w:name w:val="Quote"/>
    <w:basedOn w:val="a"/>
    <w:next w:val="a"/>
    <w:link w:val="af3"/>
    <w:uiPriority w:val="29"/>
    <w:qFormat/>
    <w:rsid w:val="00E7343E"/>
    <w:rPr>
      <w:i/>
      <w:iCs/>
      <w:color w:val="000000" w:themeColor="text1"/>
    </w:rPr>
  </w:style>
  <w:style w:type="character" w:customStyle="1" w:styleId="af3">
    <w:name w:val="引文 字元"/>
    <w:basedOn w:val="a0"/>
    <w:link w:val="af2"/>
    <w:uiPriority w:val="29"/>
    <w:rsid w:val="00E7343E"/>
    <w:rPr>
      <w:i/>
      <w:iCs/>
      <w:color w:val="000000" w:themeColor="text1"/>
    </w:rPr>
  </w:style>
  <w:style w:type="paragraph" w:styleId="af4">
    <w:name w:val="Intense Quote"/>
    <w:basedOn w:val="a"/>
    <w:next w:val="a"/>
    <w:link w:val="af5"/>
    <w:uiPriority w:val="30"/>
    <w:qFormat/>
    <w:rsid w:val="00E7343E"/>
    <w:pPr>
      <w:pBdr>
        <w:bottom w:val="single" w:sz="4" w:space="4" w:color="4472C4" w:themeColor="accent1"/>
      </w:pBdr>
      <w:spacing w:before="200" w:after="280"/>
      <w:ind w:left="936" w:right="936"/>
    </w:pPr>
    <w:rPr>
      <w:b/>
      <w:bCs/>
      <w:i/>
      <w:iCs/>
      <w:color w:val="4472C4" w:themeColor="accent1"/>
    </w:rPr>
  </w:style>
  <w:style w:type="character" w:customStyle="1" w:styleId="af5">
    <w:name w:val="鮮明引文 字元"/>
    <w:basedOn w:val="a0"/>
    <w:link w:val="af4"/>
    <w:uiPriority w:val="30"/>
    <w:rsid w:val="00E7343E"/>
    <w:rPr>
      <w:b/>
      <w:bCs/>
      <w:i/>
      <w:iCs/>
      <w:color w:val="4472C4" w:themeColor="accent1"/>
    </w:rPr>
  </w:style>
  <w:style w:type="character" w:styleId="af6">
    <w:name w:val="Subtle Emphasis"/>
    <w:basedOn w:val="a0"/>
    <w:uiPriority w:val="19"/>
    <w:qFormat/>
    <w:rsid w:val="00E7343E"/>
    <w:rPr>
      <w:i/>
      <w:iCs/>
      <w:color w:val="808080" w:themeColor="text1" w:themeTint="7F"/>
    </w:rPr>
  </w:style>
  <w:style w:type="character" w:styleId="af7">
    <w:name w:val="Intense Emphasis"/>
    <w:basedOn w:val="a0"/>
    <w:uiPriority w:val="21"/>
    <w:qFormat/>
    <w:rsid w:val="00E7343E"/>
    <w:rPr>
      <w:b/>
      <w:bCs/>
      <w:i/>
      <w:iCs/>
      <w:color w:val="4472C4" w:themeColor="accent1"/>
    </w:rPr>
  </w:style>
  <w:style w:type="character" w:styleId="af8">
    <w:name w:val="Subtle Reference"/>
    <w:basedOn w:val="a0"/>
    <w:uiPriority w:val="31"/>
    <w:qFormat/>
    <w:rsid w:val="00E7343E"/>
    <w:rPr>
      <w:smallCaps/>
      <w:color w:val="ED7D31" w:themeColor="accent2"/>
      <w:u w:val="single"/>
    </w:rPr>
  </w:style>
  <w:style w:type="character" w:styleId="af9">
    <w:name w:val="Intense Reference"/>
    <w:basedOn w:val="a0"/>
    <w:uiPriority w:val="32"/>
    <w:qFormat/>
    <w:rsid w:val="00E7343E"/>
    <w:rPr>
      <w:b/>
      <w:bCs/>
      <w:smallCaps/>
      <w:color w:val="ED7D31" w:themeColor="accent2"/>
      <w:spacing w:val="5"/>
      <w:u w:val="single"/>
    </w:rPr>
  </w:style>
  <w:style w:type="character" w:styleId="afa">
    <w:name w:val="Book Title"/>
    <w:basedOn w:val="a0"/>
    <w:uiPriority w:val="33"/>
    <w:qFormat/>
    <w:rsid w:val="00E7343E"/>
    <w:rPr>
      <w:b/>
      <w:bCs/>
      <w:smallCaps/>
      <w:spacing w:val="5"/>
    </w:rPr>
  </w:style>
  <w:style w:type="paragraph" w:styleId="afb">
    <w:name w:val="TOC Heading"/>
    <w:basedOn w:val="1"/>
    <w:next w:val="a"/>
    <w:uiPriority w:val="39"/>
    <w:unhideWhenUsed/>
    <w:qFormat/>
    <w:rsid w:val="00E7343E"/>
    <w:pPr>
      <w:outlineLvl w:val="9"/>
    </w:pPr>
  </w:style>
  <w:style w:type="paragraph" w:styleId="12">
    <w:name w:val="toc 1"/>
    <w:basedOn w:val="a"/>
    <w:next w:val="a"/>
    <w:autoRedefine/>
    <w:uiPriority w:val="39"/>
    <w:unhideWhenUsed/>
    <w:rsid w:val="00CF53F1"/>
  </w:style>
  <w:style w:type="character" w:styleId="afc">
    <w:name w:val="Hyperlink"/>
    <w:basedOn w:val="a0"/>
    <w:uiPriority w:val="99"/>
    <w:unhideWhenUsed/>
    <w:rsid w:val="00CF53F1"/>
    <w:rPr>
      <w:color w:val="0563C1" w:themeColor="hyperlink"/>
      <w:u w:val="single"/>
    </w:rPr>
  </w:style>
  <w:style w:type="paragraph" w:styleId="afd">
    <w:name w:val="List Paragraph"/>
    <w:basedOn w:val="a"/>
    <w:uiPriority w:val="34"/>
    <w:qFormat/>
    <w:rsid w:val="00FA098D"/>
    <w:pPr>
      <w:ind w:leftChars="200" w:left="480"/>
    </w:pPr>
  </w:style>
  <w:style w:type="paragraph" w:styleId="afe">
    <w:name w:val="Revision"/>
    <w:hidden/>
    <w:uiPriority w:val="99"/>
    <w:semiHidden/>
    <w:rsid w:val="00002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2218">
      <w:bodyDiv w:val="1"/>
      <w:marLeft w:val="0"/>
      <w:marRight w:val="0"/>
      <w:marTop w:val="0"/>
      <w:marBottom w:val="0"/>
      <w:divBdr>
        <w:top w:val="none" w:sz="0" w:space="0" w:color="auto"/>
        <w:left w:val="none" w:sz="0" w:space="0" w:color="auto"/>
        <w:bottom w:val="none" w:sz="0" w:space="0" w:color="auto"/>
        <w:right w:val="none" w:sz="0" w:space="0" w:color="auto"/>
      </w:divBdr>
    </w:div>
    <w:div w:id="17809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D535-8772-45EF-B412-07DA0E20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張翠蘭</dc:creator>
  <cp:keywords/>
  <dc:description/>
  <cp:lastModifiedBy>張翠蘭</cp:lastModifiedBy>
  <cp:revision>11</cp:revision>
  <cp:lastPrinted>2024-02-20T06:39:00Z</cp:lastPrinted>
  <dcterms:created xsi:type="dcterms:W3CDTF">2024-02-20T01:49:00Z</dcterms:created>
  <dcterms:modified xsi:type="dcterms:W3CDTF">2024-03-22T02:34:00Z</dcterms:modified>
</cp:coreProperties>
</file>